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AC6" w:rsidRPr="003B4E3F" w:rsidRDefault="00951A71" w:rsidP="00951A71">
      <w:pPr>
        <w:widowControl/>
        <w:autoSpaceDE/>
        <w:autoSpaceDN/>
        <w:adjustRightInd/>
        <w:jc w:val="left"/>
        <w:rPr>
          <w:rFonts w:cs="Arial"/>
          <w:sz w:val="20"/>
        </w:rPr>
      </w:pPr>
      <w:r w:rsidRPr="003B4E3F">
        <w:rPr>
          <w:rFonts w:cs="Arial"/>
          <w:sz w:val="20"/>
        </w:rPr>
        <w:t xml:space="preserve">         </w:t>
      </w:r>
    </w:p>
    <w:p w:rsidR="00951A71" w:rsidRPr="003B4E3F" w:rsidRDefault="00951A71" w:rsidP="00951A71">
      <w:pPr>
        <w:widowControl/>
        <w:autoSpaceDE/>
        <w:autoSpaceDN/>
        <w:adjustRightInd/>
        <w:jc w:val="left"/>
        <w:rPr>
          <w:rFonts w:cs="Arial"/>
          <w:bCs/>
        </w:rPr>
      </w:pPr>
      <w:r w:rsidRPr="003B4E3F">
        <w:rPr>
          <w:rFonts w:cs="Arial"/>
          <w:sz w:val="20"/>
        </w:rPr>
        <w:t xml:space="preserve">   </w:t>
      </w:r>
      <w:r w:rsidR="00CE4AC6" w:rsidRPr="003B4E3F">
        <w:rPr>
          <w:rFonts w:cs="Arial"/>
          <w:sz w:val="20"/>
        </w:rPr>
        <w:t xml:space="preserve">          </w:t>
      </w:r>
      <w:r w:rsidRPr="003B4E3F">
        <w:rPr>
          <w:rFonts w:cs="Arial"/>
          <w:sz w:val="20"/>
        </w:rPr>
        <w:t xml:space="preserve">      </w:t>
      </w:r>
      <w:r w:rsidRPr="003B4E3F">
        <w:rPr>
          <w:rFonts w:cs="Arial"/>
          <w:noProof/>
          <w:sz w:val="20"/>
        </w:rPr>
        <w:drawing>
          <wp:inline distT="0" distB="0" distL="0" distR="0" wp14:anchorId="596F599B" wp14:editId="1FCD7B82">
            <wp:extent cx="466725" cy="800100"/>
            <wp:effectExtent l="0" t="0" r="9525" b="0"/>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
                    <pic:cNvPicPr>
                      <a:picLocks noChangeArrowheads="1"/>
                    </pic:cNvPicPr>
                  </pic:nvPicPr>
                  <pic:blipFill>
                    <a:blip r:embed="rId8" cstate="print">
                      <a:extLst>
                        <a:ext uri="{28A0092B-C50C-407E-A947-70E740481C1C}">
                          <a14:useLocalDpi xmlns:a14="http://schemas.microsoft.com/office/drawing/2010/main" val="0"/>
                        </a:ext>
                      </a:extLst>
                    </a:blip>
                    <a:srcRect l="-4411" t="-20859" r="-4411" b="-20859"/>
                    <a:stretch>
                      <a:fillRect/>
                    </a:stretch>
                  </pic:blipFill>
                  <pic:spPr bwMode="auto">
                    <a:xfrm>
                      <a:off x="0" y="0"/>
                      <a:ext cx="466725" cy="800100"/>
                    </a:xfrm>
                    <a:prstGeom prst="rect">
                      <a:avLst/>
                    </a:prstGeom>
                    <a:noFill/>
                    <a:ln>
                      <a:noFill/>
                    </a:ln>
                  </pic:spPr>
                </pic:pic>
              </a:graphicData>
            </a:graphic>
          </wp:inline>
        </w:drawing>
      </w:r>
    </w:p>
    <w:p w:rsidR="00951A71" w:rsidRPr="003B4E3F" w:rsidRDefault="00951A71" w:rsidP="00951A71">
      <w:pPr>
        <w:widowControl/>
        <w:autoSpaceDE/>
        <w:autoSpaceDN/>
        <w:adjustRightInd/>
        <w:jc w:val="left"/>
        <w:rPr>
          <w:rFonts w:cs="Arial"/>
          <w:bCs/>
        </w:rPr>
      </w:pPr>
      <w:r w:rsidRPr="003B4E3F">
        <w:rPr>
          <w:rFonts w:cs="Arial"/>
          <w:bCs/>
        </w:rPr>
        <w:t>REPUBLIKA HRVATSKA</w:t>
      </w:r>
    </w:p>
    <w:p w:rsidR="00951A71" w:rsidRPr="003B4E3F" w:rsidRDefault="00951A71" w:rsidP="00951A71">
      <w:pPr>
        <w:widowControl/>
        <w:pBdr>
          <w:bottom w:val="single" w:sz="4" w:space="1" w:color="auto"/>
        </w:pBdr>
        <w:autoSpaceDE/>
        <w:autoSpaceDN/>
        <w:adjustRightInd/>
        <w:rPr>
          <w:rFonts w:cs="Arial"/>
          <w:bCs/>
          <w:szCs w:val="20"/>
        </w:rPr>
      </w:pPr>
      <w:r w:rsidRPr="003B4E3F">
        <w:rPr>
          <w:rFonts w:cs="Arial"/>
          <w:bCs/>
          <w:szCs w:val="20"/>
        </w:rPr>
        <w:t>DRŽAVNI URED ZA REVIZIJU</w:t>
      </w:r>
    </w:p>
    <w:p w:rsidR="00A475FB" w:rsidRPr="003B4E3F" w:rsidRDefault="00A475FB" w:rsidP="00A475FB">
      <w:pPr>
        <w:tabs>
          <w:tab w:val="left" w:pos="284"/>
          <w:tab w:val="left" w:pos="567"/>
          <w:tab w:val="left" w:pos="851"/>
        </w:tabs>
      </w:pPr>
      <w:r w:rsidRPr="003B4E3F">
        <w:t xml:space="preserve">KLASA: </w:t>
      </w:r>
      <w:r w:rsidR="00A637D0" w:rsidRPr="00A637D0">
        <w:t>008-01/26-04/3</w:t>
      </w:r>
    </w:p>
    <w:p w:rsidR="00A475FB" w:rsidRPr="00A637D0" w:rsidRDefault="00A475FB" w:rsidP="00A475FB">
      <w:pPr>
        <w:tabs>
          <w:tab w:val="left" w:pos="284"/>
          <w:tab w:val="left" w:pos="567"/>
          <w:tab w:val="left" w:pos="851"/>
        </w:tabs>
        <w:rPr>
          <w:rFonts w:cs="Arial"/>
        </w:rPr>
      </w:pPr>
      <w:r w:rsidRPr="003B4E3F">
        <w:t>URBROJ</w:t>
      </w:r>
      <w:r w:rsidRPr="00A637D0">
        <w:rPr>
          <w:rFonts w:cs="Arial"/>
        </w:rPr>
        <w:t xml:space="preserve">: </w:t>
      </w:r>
      <w:r w:rsidR="00A637D0" w:rsidRPr="00A637D0">
        <w:rPr>
          <w:rFonts w:cs="Arial"/>
        </w:rPr>
        <w:t>613-01-10-26-3</w:t>
      </w:r>
    </w:p>
    <w:p w:rsidR="00A637D0" w:rsidRPr="003B4E3F" w:rsidRDefault="00A637D0" w:rsidP="00A475FB">
      <w:pPr>
        <w:tabs>
          <w:tab w:val="left" w:pos="284"/>
          <w:tab w:val="left" w:pos="567"/>
          <w:tab w:val="left" w:pos="851"/>
        </w:tabs>
      </w:pPr>
    </w:p>
    <w:p w:rsidR="00A475FB" w:rsidRPr="003B4E3F" w:rsidRDefault="00A475FB" w:rsidP="00A475FB">
      <w:pPr>
        <w:tabs>
          <w:tab w:val="left" w:pos="284"/>
          <w:tab w:val="left" w:pos="567"/>
          <w:tab w:val="left" w:pos="851"/>
        </w:tabs>
      </w:pPr>
      <w:r w:rsidRPr="003B4E3F">
        <w:t xml:space="preserve">Zagreb, </w:t>
      </w:r>
      <w:r w:rsidR="009A52CE">
        <w:t>1</w:t>
      </w:r>
      <w:r w:rsidR="007F2D68">
        <w:t>2</w:t>
      </w:r>
      <w:r w:rsidRPr="003B4E3F">
        <w:t xml:space="preserve">. </w:t>
      </w:r>
      <w:r w:rsidR="0065129A">
        <w:t>lipnja</w:t>
      </w:r>
      <w:r w:rsidRPr="003B4E3F">
        <w:t xml:space="preserve"> 202</w:t>
      </w:r>
      <w:r w:rsidR="007F2D68">
        <w:t>6</w:t>
      </w:r>
      <w:r w:rsidRPr="003B4E3F">
        <w:t>.</w:t>
      </w:r>
    </w:p>
    <w:p w:rsidR="00A475FB" w:rsidRPr="003B4E3F" w:rsidRDefault="00A475FB" w:rsidP="00A475FB">
      <w:pPr>
        <w:tabs>
          <w:tab w:val="left" w:pos="284"/>
          <w:tab w:val="left" w:pos="567"/>
          <w:tab w:val="left" w:pos="851"/>
        </w:tabs>
      </w:pPr>
    </w:p>
    <w:p w:rsidR="0030749A" w:rsidRPr="003B4E3F" w:rsidRDefault="0030749A"/>
    <w:p w:rsidR="00951A71" w:rsidRPr="003B4E3F" w:rsidRDefault="0030749A">
      <w:r w:rsidRPr="003B4E3F">
        <w:tab/>
      </w:r>
      <w:r w:rsidRPr="003B4E3F">
        <w:tab/>
      </w:r>
      <w:r w:rsidRPr="003B4E3F">
        <w:tab/>
      </w:r>
      <w:r w:rsidRPr="003B4E3F">
        <w:tab/>
      </w:r>
      <w:r w:rsidRPr="003B4E3F">
        <w:tab/>
      </w:r>
      <w:r w:rsidR="00951A71" w:rsidRPr="003B4E3F">
        <w:tab/>
      </w:r>
      <w:r w:rsidR="00951A71" w:rsidRPr="003B4E3F">
        <w:tab/>
      </w:r>
      <w:r w:rsidR="00951A71" w:rsidRPr="003B4E3F">
        <w:tab/>
      </w:r>
      <w:r w:rsidR="00951A71" w:rsidRPr="003B4E3F">
        <w:tab/>
      </w:r>
      <w:r w:rsidR="00951A71" w:rsidRPr="003B4E3F">
        <w:tab/>
      </w:r>
      <w:r w:rsidR="001C2236" w:rsidRPr="003B4E3F">
        <w:t>–</w:t>
      </w:r>
      <w:r w:rsidR="00951A71" w:rsidRPr="003B4E3F">
        <w:t xml:space="preserve"> za objavu, odmah </w:t>
      </w:r>
      <w:r w:rsidR="001C2236" w:rsidRPr="003B4E3F">
        <w:t>–</w:t>
      </w:r>
    </w:p>
    <w:p w:rsidR="00951A71" w:rsidRPr="003B4E3F" w:rsidRDefault="00951A71"/>
    <w:p w:rsidR="0030749A" w:rsidRPr="003B4E3F" w:rsidRDefault="0030749A"/>
    <w:p w:rsidR="00951A71" w:rsidRPr="003B4E3F" w:rsidRDefault="00A87482" w:rsidP="00951A71">
      <w:pPr>
        <w:jc w:val="center"/>
      </w:pPr>
      <w:r w:rsidRPr="003B4E3F">
        <w:t>PRIOPĆENJE ZA MEDIJE</w:t>
      </w:r>
    </w:p>
    <w:p w:rsidR="00951A71" w:rsidRPr="003B4E3F" w:rsidRDefault="00951A71" w:rsidP="00951A71">
      <w:pPr>
        <w:jc w:val="center"/>
      </w:pPr>
    </w:p>
    <w:p w:rsidR="00951A71" w:rsidRPr="003B4E3F" w:rsidRDefault="00951A71" w:rsidP="00A637D0">
      <w:pPr>
        <w:shd w:val="clear" w:color="auto" w:fill="DBE5F1" w:themeFill="accent1" w:themeFillTint="33"/>
        <w:jc w:val="center"/>
        <w:rPr>
          <w:b/>
        </w:rPr>
      </w:pPr>
      <w:r w:rsidRPr="003B4E3F">
        <w:rPr>
          <w:b/>
        </w:rPr>
        <w:t>DOSTAVA IZVJEŠĆA HRVATSKOM SABORU</w:t>
      </w:r>
    </w:p>
    <w:p w:rsidR="00951A71" w:rsidRPr="003B4E3F" w:rsidRDefault="00951A71" w:rsidP="00951A71">
      <w:pPr>
        <w:jc w:val="center"/>
      </w:pPr>
    </w:p>
    <w:p w:rsidR="00951A71" w:rsidRPr="003B4E3F" w:rsidRDefault="00951A71" w:rsidP="00951A71"/>
    <w:p w:rsidR="007643D7" w:rsidRDefault="00951A71" w:rsidP="007643D7">
      <w:pPr>
        <w:tabs>
          <w:tab w:val="left" w:pos="567"/>
        </w:tabs>
        <w:rPr>
          <w:rFonts w:cs="Arial"/>
          <w:b/>
          <w:lang w:eastAsia="en-US"/>
        </w:rPr>
      </w:pPr>
      <w:r w:rsidRPr="003B4E3F">
        <w:t xml:space="preserve">Državni ured za </w:t>
      </w:r>
      <w:r w:rsidRPr="007643D7">
        <w:t xml:space="preserve">reviziju </w:t>
      </w:r>
      <w:r w:rsidR="007643D7">
        <w:t>danas je</w:t>
      </w:r>
      <w:r w:rsidRPr="003B4E3F">
        <w:t xml:space="preserve"> </w:t>
      </w:r>
      <w:r w:rsidRPr="007643D7">
        <w:t>Hrvatskom saboru</w:t>
      </w:r>
      <w:r w:rsidR="007643D7">
        <w:rPr>
          <w:b/>
        </w:rPr>
        <w:t xml:space="preserve"> </w:t>
      </w:r>
      <w:r w:rsidR="007643D7" w:rsidRPr="003B4E3F">
        <w:t>dostavio</w:t>
      </w:r>
      <w:r w:rsidR="007643D7" w:rsidRPr="0065129A">
        <w:rPr>
          <w:rFonts w:cs="Arial"/>
          <w:b/>
          <w:lang w:eastAsia="en-US"/>
        </w:rPr>
        <w:t xml:space="preserve"> </w:t>
      </w:r>
      <w:r w:rsidR="0065129A" w:rsidRPr="0065129A">
        <w:rPr>
          <w:rFonts w:cs="Arial"/>
          <w:b/>
          <w:lang w:eastAsia="en-US"/>
        </w:rPr>
        <w:t>Izvješće o obavljenoj reviziji Godišnjeg izvještaja o izvršenju Državnog proračuna Republike Hrvatske za 202</w:t>
      </w:r>
      <w:r w:rsidR="007643D7">
        <w:rPr>
          <w:rFonts w:cs="Arial"/>
          <w:b/>
          <w:lang w:eastAsia="en-US"/>
        </w:rPr>
        <w:t>5</w:t>
      </w:r>
      <w:r w:rsidR="0065129A" w:rsidRPr="0065129A">
        <w:rPr>
          <w:rFonts w:cs="Arial"/>
          <w:b/>
          <w:lang w:eastAsia="en-US"/>
        </w:rPr>
        <w:t>.</w:t>
      </w:r>
      <w:r w:rsidR="009F4237">
        <w:rPr>
          <w:rFonts w:cs="Arial"/>
          <w:b/>
          <w:lang w:eastAsia="en-US"/>
        </w:rPr>
        <w:t xml:space="preserve"> godinu</w:t>
      </w:r>
      <w:r w:rsidR="007643D7">
        <w:rPr>
          <w:rFonts w:cs="Arial"/>
          <w:b/>
          <w:lang w:eastAsia="en-US"/>
        </w:rPr>
        <w:t xml:space="preserve">. </w:t>
      </w:r>
    </w:p>
    <w:p w:rsidR="007643D7" w:rsidRDefault="007643D7" w:rsidP="007643D7">
      <w:pPr>
        <w:tabs>
          <w:tab w:val="left" w:pos="567"/>
        </w:tabs>
        <w:rPr>
          <w:rFonts w:cs="Arial"/>
          <w:b/>
          <w:lang w:eastAsia="en-US"/>
        </w:rPr>
      </w:pPr>
    </w:p>
    <w:p w:rsidR="007643D7" w:rsidRDefault="007F2D68" w:rsidP="007643D7">
      <w:pPr>
        <w:tabs>
          <w:tab w:val="left" w:pos="567"/>
        </w:tabs>
        <w:rPr>
          <w:rStyle w:val="Hiperveza"/>
          <w:rFonts w:cs="Arial"/>
          <w:color w:val="auto"/>
          <w:u w:val="none"/>
        </w:rPr>
      </w:pPr>
      <w:r>
        <w:rPr>
          <w:rFonts w:cs="Arial"/>
        </w:rPr>
        <w:t>Izvješće je</w:t>
      </w:r>
      <w:r w:rsidR="007F099B" w:rsidRPr="003B4E3F">
        <w:t xml:space="preserve"> </w:t>
      </w:r>
      <w:r w:rsidR="007F099B" w:rsidRPr="003B4E3F">
        <w:rPr>
          <w:rFonts w:cs="Arial"/>
        </w:rPr>
        <w:t>dostavljen</w:t>
      </w:r>
      <w:r>
        <w:rPr>
          <w:rFonts w:cs="Arial"/>
        </w:rPr>
        <w:t>o</w:t>
      </w:r>
      <w:r w:rsidR="007F099B" w:rsidRPr="003B4E3F">
        <w:rPr>
          <w:rFonts w:cs="Arial"/>
        </w:rPr>
        <w:t xml:space="preserve"> i </w:t>
      </w:r>
      <w:r w:rsidR="007F099B" w:rsidRPr="007643D7">
        <w:rPr>
          <w:rFonts w:cs="Arial"/>
        </w:rPr>
        <w:t>D</w:t>
      </w:r>
      <w:r w:rsidR="00BE6AA2" w:rsidRPr="007643D7">
        <w:rPr>
          <w:rFonts w:cs="Arial"/>
        </w:rPr>
        <w:t>ržavnom odvjetništvu Republike Hrvatske</w:t>
      </w:r>
      <w:r w:rsidR="00F451C7">
        <w:rPr>
          <w:rFonts w:cs="Arial"/>
        </w:rPr>
        <w:t xml:space="preserve"> </w:t>
      </w:r>
      <w:r w:rsidR="00E46EA9">
        <w:rPr>
          <w:rFonts w:cs="Arial"/>
        </w:rPr>
        <w:t>te</w:t>
      </w:r>
      <w:r w:rsidR="00A22E43">
        <w:rPr>
          <w:rFonts w:cs="Arial"/>
        </w:rPr>
        <w:t xml:space="preserve"> objavljen</w:t>
      </w:r>
      <w:r>
        <w:rPr>
          <w:rFonts w:cs="Arial"/>
        </w:rPr>
        <w:t>o</w:t>
      </w:r>
      <w:r w:rsidR="00A22E43">
        <w:rPr>
          <w:rFonts w:cs="Arial"/>
        </w:rPr>
        <w:t xml:space="preserve"> </w:t>
      </w:r>
      <w:r w:rsidR="007F099B" w:rsidRPr="003B4E3F">
        <w:rPr>
          <w:rFonts w:cs="Arial"/>
        </w:rPr>
        <w:t>na</w:t>
      </w:r>
      <w:r w:rsidR="007F099B" w:rsidRPr="003B4E3F">
        <w:rPr>
          <w:rFonts w:cs="Arial"/>
          <w:b/>
        </w:rPr>
        <w:t xml:space="preserve"> </w:t>
      </w:r>
      <w:r w:rsidR="007F099B" w:rsidRPr="007643D7">
        <w:rPr>
          <w:rFonts w:cs="Arial"/>
        </w:rPr>
        <w:t>mrežnim stranicama</w:t>
      </w:r>
      <w:r w:rsidR="007F099B" w:rsidRPr="00F451C7">
        <w:rPr>
          <w:rFonts w:cs="Arial"/>
        </w:rPr>
        <w:t xml:space="preserve"> </w:t>
      </w:r>
      <w:r w:rsidR="005E579E" w:rsidRPr="00F451C7">
        <w:rPr>
          <w:rFonts w:cs="Arial"/>
        </w:rPr>
        <w:t>Ureda</w:t>
      </w:r>
      <w:r w:rsidR="007F099B" w:rsidRPr="003B4E3F">
        <w:rPr>
          <w:rFonts w:cs="Arial"/>
        </w:rPr>
        <w:t xml:space="preserve"> </w:t>
      </w:r>
      <w:hyperlink r:id="rId9" w:history="1">
        <w:r w:rsidR="00EC7A2F" w:rsidRPr="002704CC">
          <w:rPr>
            <w:rStyle w:val="Hiperveza"/>
            <w:rFonts w:cs="Arial"/>
          </w:rPr>
          <w:t>www.revizija.hr</w:t>
        </w:r>
      </w:hyperlink>
      <w:r w:rsidR="006B4106" w:rsidRPr="006B4106">
        <w:rPr>
          <w:rStyle w:val="Hiperveza"/>
          <w:rFonts w:cs="Arial"/>
          <w:color w:val="auto"/>
          <w:u w:val="none"/>
        </w:rPr>
        <w:t>.</w:t>
      </w:r>
      <w:r w:rsidR="007643D7">
        <w:rPr>
          <w:rStyle w:val="Hiperveza"/>
          <w:rFonts w:cs="Arial"/>
          <w:color w:val="auto"/>
          <w:u w:val="none"/>
        </w:rPr>
        <w:t xml:space="preserve"> </w:t>
      </w:r>
    </w:p>
    <w:p w:rsidR="007643D7" w:rsidRDefault="007643D7" w:rsidP="007643D7">
      <w:pPr>
        <w:tabs>
          <w:tab w:val="left" w:pos="567"/>
        </w:tabs>
        <w:rPr>
          <w:rStyle w:val="Hiperveza"/>
          <w:rFonts w:cs="Arial"/>
          <w:color w:val="auto"/>
          <w:u w:val="none"/>
        </w:rPr>
      </w:pPr>
    </w:p>
    <w:p w:rsidR="00BC5441" w:rsidRDefault="00BC5441" w:rsidP="007643D7">
      <w:pPr>
        <w:tabs>
          <w:tab w:val="left" w:pos="567"/>
        </w:tabs>
        <w:rPr>
          <w:rFonts w:ascii="Calibri" w:hAnsi="Calibri" w:cs="Calibri"/>
          <w:sz w:val="22"/>
          <w:szCs w:val="22"/>
        </w:rPr>
      </w:pPr>
      <w:r>
        <w:t xml:space="preserve">Također, </w:t>
      </w:r>
      <w:r w:rsidR="00920EC2">
        <w:t>u skladu s</w:t>
      </w:r>
      <w:r>
        <w:t xml:space="preserve"> člankom 23.</w:t>
      </w:r>
      <w:r w:rsidR="00B92843">
        <w:t>,</w:t>
      </w:r>
      <w:r>
        <w:t xml:space="preserve"> stavkom 4. Zakona o Državnom uredu za revizij</w:t>
      </w:r>
      <w:r w:rsidR="007643D7">
        <w:t>u, Državnom odvjetništvu dostavljena je</w:t>
      </w:r>
      <w:r>
        <w:t xml:space="preserve"> obavijest o </w:t>
      </w:r>
      <w:r w:rsidR="004229B4">
        <w:t>statusima</w:t>
      </w:r>
      <w:r>
        <w:t xml:space="preserve"> naloga i preporuka danih u </w:t>
      </w:r>
      <w:r w:rsidR="00860984" w:rsidRPr="00A637D0">
        <w:t>prošlim financijskim revizijama</w:t>
      </w:r>
      <w:r>
        <w:t xml:space="preserve"> subjekt</w:t>
      </w:r>
      <w:r w:rsidR="007F2D68">
        <w:t>u</w:t>
      </w:r>
      <w:r w:rsidR="007A19F0">
        <w:t xml:space="preserve"> </w:t>
      </w:r>
      <w:r w:rsidR="00E46EA9">
        <w:t xml:space="preserve">ove </w:t>
      </w:r>
      <w:r w:rsidR="007A19F0">
        <w:t>revizije</w:t>
      </w:r>
      <w:r w:rsidR="007F2D68">
        <w:t xml:space="preserve"> (Ministarstvu financija)</w:t>
      </w:r>
      <w:r>
        <w:t>.</w:t>
      </w:r>
    </w:p>
    <w:p w:rsidR="00BC5441" w:rsidRDefault="00BC5441" w:rsidP="00DE1492">
      <w:pPr>
        <w:pBdr>
          <w:bottom w:val="single" w:sz="4" w:space="1" w:color="auto"/>
        </w:pBdr>
        <w:rPr>
          <w:rFonts w:ascii="Times New Roman" w:hAnsi="Times New Roman"/>
        </w:rPr>
      </w:pPr>
    </w:p>
    <w:p w:rsidR="006262BD" w:rsidRPr="003B4E3F" w:rsidRDefault="006262BD" w:rsidP="007F099B">
      <w:pPr>
        <w:tabs>
          <w:tab w:val="left" w:pos="0"/>
        </w:tabs>
        <w:ind w:firstLine="567"/>
        <w:rPr>
          <w:rFonts w:cs="Arial"/>
        </w:rPr>
      </w:pPr>
    </w:p>
    <w:p w:rsidR="00015C39" w:rsidRPr="00A637D0" w:rsidRDefault="00A637D0" w:rsidP="00A637D0">
      <w:pPr>
        <w:shd w:val="clear" w:color="auto" w:fill="DBE5F1" w:themeFill="accent1" w:themeFillTint="33"/>
        <w:tabs>
          <w:tab w:val="left" w:pos="284"/>
          <w:tab w:val="left" w:pos="567"/>
          <w:tab w:val="left" w:pos="851"/>
        </w:tabs>
        <w:jc w:val="left"/>
        <w:rPr>
          <w:rFonts w:cs="Arial"/>
          <w:b/>
        </w:rPr>
      </w:pPr>
      <w:r>
        <w:rPr>
          <w:rFonts w:cs="Arial"/>
          <w:b/>
        </w:rPr>
        <w:t>R</w:t>
      </w:r>
      <w:r w:rsidR="007F2D68" w:rsidRPr="00A637D0">
        <w:rPr>
          <w:rFonts w:cs="Arial"/>
          <w:b/>
        </w:rPr>
        <w:t>evizij</w:t>
      </w:r>
      <w:r w:rsidRPr="00A637D0">
        <w:rPr>
          <w:rFonts w:cs="Arial"/>
          <w:b/>
        </w:rPr>
        <w:t>a</w:t>
      </w:r>
      <w:r w:rsidR="007F2D68" w:rsidRPr="00A637D0">
        <w:rPr>
          <w:rFonts w:cs="Arial"/>
          <w:b/>
        </w:rPr>
        <w:t xml:space="preserve"> Godišnjeg izvještaja o izvršenju D</w:t>
      </w:r>
      <w:r w:rsidR="002B5D6A" w:rsidRPr="00A637D0">
        <w:rPr>
          <w:rFonts w:cs="Arial"/>
          <w:b/>
        </w:rPr>
        <w:t xml:space="preserve">ržavnog </w:t>
      </w:r>
      <w:r w:rsidR="007F2D68" w:rsidRPr="00A637D0">
        <w:rPr>
          <w:rFonts w:cs="Arial"/>
          <w:b/>
        </w:rPr>
        <w:t>proračuna Republike Hrvatske za 2025. godinu</w:t>
      </w:r>
    </w:p>
    <w:p w:rsidR="00015C39" w:rsidRDefault="00015C39" w:rsidP="00B171FE">
      <w:pPr>
        <w:ind w:firstLine="567"/>
        <w:rPr>
          <w:rFonts w:cs="Arial"/>
        </w:rPr>
      </w:pPr>
    </w:p>
    <w:p w:rsidR="00B171FE" w:rsidRDefault="00B171FE" w:rsidP="007643D7">
      <w:pPr>
        <w:rPr>
          <w:rFonts w:cs="Arial"/>
          <w:b/>
        </w:rPr>
      </w:pPr>
      <w:r w:rsidRPr="009931EE">
        <w:rPr>
          <w:rFonts w:cs="Arial"/>
        </w:rPr>
        <w:t>Za</w:t>
      </w:r>
      <w:r w:rsidRPr="00B93D02">
        <w:rPr>
          <w:rFonts w:cs="Arial"/>
          <w:b/>
        </w:rPr>
        <w:t xml:space="preserve"> </w:t>
      </w:r>
      <w:r w:rsidRPr="00D16CA7">
        <w:rPr>
          <w:rFonts w:cs="Arial"/>
        </w:rPr>
        <w:t>Godišnji izvještaj o izvršenju Državnog proračuna Republike Hrvatske za 202</w:t>
      </w:r>
      <w:r w:rsidR="007F2D68">
        <w:rPr>
          <w:rFonts w:cs="Arial"/>
        </w:rPr>
        <w:t>5</w:t>
      </w:r>
      <w:r w:rsidRPr="00D16CA7">
        <w:rPr>
          <w:rFonts w:cs="Arial"/>
        </w:rPr>
        <w:t>. godinu</w:t>
      </w:r>
      <w:r w:rsidRPr="000C20C9">
        <w:rPr>
          <w:rFonts w:cs="Arial"/>
        </w:rPr>
        <w:t xml:space="preserve"> izra</w:t>
      </w:r>
      <w:r w:rsidR="002B5D6A">
        <w:rPr>
          <w:rFonts w:cs="Arial"/>
        </w:rPr>
        <w:t>zili smo</w:t>
      </w:r>
      <w:r w:rsidRPr="000C20C9">
        <w:rPr>
          <w:rFonts w:cs="Arial"/>
        </w:rPr>
        <w:t xml:space="preserve"> </w:t>
      </w:r>
      <w:r w:rsidRPr="000C20C9">
        <w:rPr>
          <w:rFonts w:cs="Arial"/>
          <w:b/>
        </w:rPr>
        <w:t>uvjetno mišljenje</w:t>
      </w:r>
      <w:r w:rsidRPr="00F25375">
        <w:rPr>
          <w:rFonts w:cs="Arial"/>
        </w:rPr>
        <w:t>.</w:t>
      </w:r>
      <w:r>
        <w:rPr>
          <w:rFonts w:cs="Arial"/>
          <w:b/>
        </w:rPr>
        <w:t xml:space="preserve"> </w:t>
      </w:r>
    </w:p>
    <w:p w:rsidR="00B171FE" w:rsidRDefault="00B171FE" w:rsidP="00B171FE">
      <w:pPr>
        <w:ind w:firstLine="567"/>
        <w:rPr>
          <w:rFonts w:cs="Arial"/>
          <w:b/>
        </w:rPr>
      </w:pPr>
    </w:p>
    <w:p w:rsidR="00B019E8" w:rsidRPr="00B019E8" w:rsidRDefault="00B019E8" w:rsidP="007643D7">
      <w:p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contextualSpacing/>
        <w:textAlignment w:val="baseline"/>
        <w:rPr>
          <w:lang w:eastAsia="x-none"/>
        </w:rPr>
      </w:pPr>
      <w:r w:rsidRPr="00B019E8">
        <w:rPr>
          <w:lang w:eastAsia="x-none"/>
        </w:rPr>
        <w:t>Ciljevi revizije bili su:</w:t>
      </w:r>
    </w:p>
    <w:p w:rsidR="00B019E8" w:rsidRPr="007643D7" w:rsidRDefault="007643D7" w:rsidP="007643D7">
      <w:pPr>
        <w:tabs>
          <w:tab w:val="left" w:pos="0"/>
          <w:tab w:val="left" w:pos="567"/>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contextualSpacing/>
        <w:rPr>
          <w:lang w:eastAsia="x-none"/>
        </w:rPr>
      </w:pPr>
      <w:r>
        <w:rPr>
          <w:lang w:eastAsia="x-none"/>
        </w:rPr>
        <w:t>–</w:t>
      </w:r>
      <w:r>
        <w:rPr>
          <w:lang w:eastAsia="x-none"/>
        </w:rPr>
        <w:tab/>
      </w:r>
      <w:r w:rsidR="00B019E8" w:rsidRPr="007643D7">
        <w:rPr>
          <w:lang w:eastAsia="x-none"/>
        </w:rPr>
        <w:t>provjeriti cjelovitost i točnost iskazanih podataka u Godišnjem izvještaju za 20</w:t>
      </w:r>
      <w:r w:rsidR="007F2D68" w:rsidRPr="007643D7">
        <w:rPr>
          <w:lang w:eastAsia="x-none"/>
        </w:rPr>
        <w:t>25</w:t>
      </w:r>
      <w:r w:rsidR="00B019E8" w:rsidRPr="007643D7">
        <w:rPr>
          <w:lang w:eastAsia="x-none"/>
        </w:rPr>
        <w:t>.</w:t>
      </w:r>
    </w:p>
    <w:p w:rsidR="00B019E8" w:rsidRPr="007643D7" w:rsidRDefault="007643D7" w:rsidP="007643D7">
      <w:pPr>
        <w:tabs>
          <w:tab w:val="left" w:pos="0"/>
          <w:tab w:val="left" w:pos="567"/>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contextualSpacing/>
        <w:rPr>
          <w:lang w:eastAsia="x-none"/>
        </w:rPr>
      </w:pPr>
      <w:r>
        <w:rPr>
          <w:lang w:eastAsia="x-none"/>
        </w:rPr>
        <w:t>–</w:t>
      </w:r>
      <w:r>
        <w:rPr>
          <w:lang w:eastAsia="x-none"/>
        </w:rPr>
        <w:tab/>
      </w:r>
      <w:r w:rsidR="00B019E8" w:rsidRPr="007643D7">
        <w:rPr>
          <w:lang w:eastAsia="x-none"/>
        </w:rPr>
        <w:t>provjeriti procese planiranja i izvršavanja državnog proračuna</w:t>
      </w:r>
    </w:p>
    <w:p w:rsidR="00B019E8" w:rsidRPr="007643D7" w:rsidRDefault="00B019E8" w:rsidP="007643D7">
      <w:pPr>
        <w:tabs>
          <w:tab w:val="left" w:pos="0"/>
          <w:tab w:val="left" w:pos="567"/>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4" w:hanging="564"/>
        <w:contextualSpacing/>
        <w:rPr>
          <w:lang w:eastAsia="x-none"/>
        </w:rPr>
      </w:pPr>
      <w:r w:rsidRPr="007643D7">
        <w:rPr>
          <w:lang w:eastAsia="x-none"/>
        </w:rPr>
        <w:t>–</w:t>
      </w:r>
      <w:r w:rsidRPr="007643D7">
        <w:rPr>
          <w:lang w:eastAsia="x-none"/>
        </w:rPr>
        <w:tab/>
        <w:t>provjeriti ostvarenje prihoda i primitaka te rashoda i izdataka u skladu s Državnim proračunom Republike Hrvatske za 202</w:t>
      </w:r>
      <w:r w:rsidR="007F2D68" w:rsidRPr="007643D7">
        <w:rPr>
          <w:lang w:eastAsia="x-none"/>
        </w:rPr>
        <w:t>5</w:t>
      </w:r>
      <w:r w:rsidRPr="007643D7">
        <w:rPr>
          <w:lang w:eastAsia="x-none"/>
        </w:rPr>
        <w:t xml:space="preserve">. </w:t>
      </w:r>
    </w:p>
    <w:p w:rsidR="00B019E8" w:rsidRPr="007643D7" w:rsidRDefault="007643D7" w:rsidP="007643D7">
      <w:pPr>
        <w:tabs>
          <w:tab w:val="left" w:pos="0"/>
          <w:tab w:val="left" w:pos="567"/>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4" w:hanging="564"/>
        <w:contextualSpacing/>
        <w:rPr>
          <w:lang w:eastAsia="x-none"/>
        </w:rPr>
      </w:pPr>
      <w:r>
        <w:rPr>
          <w:lang w:eastAsia="x-none"/>
        </w:rPr>
        <w:t>–</w:t>
      </w:r>
      <w:r>
        <w:rPr>
          <w:lang w:eastAsia="x-none"/>
        </w:rPr>
        <w:tab/>
      </w:r>
      <w:r w:rsidR="00B019E8" w:rsidRPr="007643D7">
        <w:rPr>
          <w:lang w:eastAsia="x-none"/>
        </w:rPr>
        <w:t>provjeriti zaduživanje i izdavanje jamstava te odobravanje sredstava iz proračunske zalihe</w:t>
      </w:r>
    </w:p>
    <w:p w:rsidR="00B019E8" w:rsidRPr="007643D7" w:rsidRDefault="00B019E8" w:rsidP="007643D7">
      <w:pPr>
        <w:tabs>
          <w:tab w:val="left" w:pos="0"/>
          <w:tab w:val="left" w:pos="567"/>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contextualSpacing/>
        <w:rPr>
          <w:lang w:eastAsia="x-none"/>
        </w:rPr>
      </w:pPr>
      <w:r w:rsidRPr="007643D7">
        <w:rPr>
          <w:lang w:eastAsia="x-none"/>
        </w:rPr>
        <w:t>–</w:t>
      </w:r>
      <w:r w:rsidRPr="007643D7">
        <w:rPr>
          <w:lang w:eastAsia="x-none"/>
        </w:rPr>
        <w:tab/>
        <w:t>ispitati organizaciju i vođenje računovodstva državnog proračuna.</w:t>
      </w:r>
    </w:p>
    <w:p w:rsidR="007643D7" w:rsidRDefault="007643D7" w:rsidP="007643D7">
      <w:pPr>
        <w:rPr>
          <w:lang w:eastAsia="x-none"/>
        </w:rPr>
      </w:pPr>
    </w:p>
    <w:p w:rsidR="001229AE" w:rsidRPr="001229AE" w:rsidRDefault="001229AE" w:rsidP="001229AE">
      <w:pPr>
        <w:rPr>
          <w:lang w:eastAsia="x-none"/>
        </w:rPr>
      </w:pPr>
      <w:r w:rsidRPr="001229AE">
        <w:rPr>
          <w:lang w:eastAsia="x-none"/>
        </w:rPr>
        <w:t xml:space="preserve">Ukupni prihodi za 2025. iskazani su u iznosu od 32.579.397.502,96 eura, ukupni rashodi u iznosu od 35.952.810.396,67 eura te je iskazan </w:t>
      </w:r>
      <w:r w:rsidRPr="008B0971">
        <w:rPr>
          <w:b/>
          <w:lang w:eastAsia="x-none"/>
        </w:rPr>
        <w:t>manjak državnog proračuna u iznosu od 3.373.412.893,71 euro</w:t>
      </w:r>
      <w:r w:rsidRPr="001229AE">
        <w:rPr>
          <w:lang w:eastAsia="x-none"/>
        </w:rPr>
        <w:t>.</w:t>
      </w:r>
    </w:p>
    <w:p w:rsidR="001229AE" w:rsidRPr="008B0971" w:rsidRDefault="001229AE" w:rsidP="001229AE">
      <w:pPr>
        <w:rPr>
          <w:b/>
          <w:lang w:eastAsia="x-none"/>
        </w:rPr>
      </w:pPr>
      <w:r w:rsidRPr="001229AE">
        <w:rPr>
          <w:lang w:eastAsia="x-none"/>
        </w:rPr>
        <w:lastRenderedPageBreak/>
        <w:t xml:space="preserve">Primici od financijske imovine i zaduživanja u 2025. iskazani su u iznosu od 9.605.027.794,37 eura, a izdaci za financijsku imovinu i otplate zajmova u iznosu od 6.629.725.950,05 eura te </w:t>
      </w:r>
      <w:r w:rsidRPr="008B0971">
        <w:rPr>
          <w:b/>
          <w:lang w:eastAsia="x-none"/>
        </w:rPr>
        <w:t>višak primitaka iznosi 2.975.301.844,32 eura.</w:t>
      </w:r>
    </w:p>
    <w:p w:rsidR="001229AE" w:rsidRDefault="001229AE" w:rsidP="001229AE">
      <w:pPr>
        <w:rPr>
          <w:lang w:eastAsia="x-none"/>
        </w:rPr>
      </w:pPr>
    </w:p>
    <w:p w:rsidR="001229AE" w:rsidRPr="001229AE" w:rsidRDefault="001229AE" w:rsidP="001229AE">
      <w:pPr>
        <w:rPr>
          <w:lang w:eastAsia="x-none"/>
        </w:rPr>
      </w:pPr>
      <w:r w:rsidRPr="001229AE">
        <w:rPr>
          <w:lang w:eastAsia="x-none"/>
        </w:rPr>
        <w:t>Prijenos sredstava iz prethodne godine (donos) iskazan je u iznosu od 3.542.460.787,05 eura, a prijenos sredstava u sljedeću godinu (odnos) u iznosu od 3.144.349.737,66 eura.</w:t>
      </w:r>
    </w:p>
    <w:p w:rsidR="001229AE" w:rsidRPr="008B0971" w:rsidRDefault="001229AE" w:rsidP="001229AE">
      <w:pPr>
        <w:ind w:firstLine="567"/>
        <w:rPr>
          <w:b/>
          <w:lang w:eastAsia="x-none"/>
        </w:rPr>
      </w:pPr>
    </w:p>
    <w:p w:rsidR="001229AE" w:rsidRPr="001229AE" w:rsidRDefault="001229AE" w:rsidP="001229AE">
      <w:pPr>
        <w:tabs>
          <w:tab w:val="left" w:pos="0"/>
          <w:tab w:val="left" w:pos="708"/>
        </w:tabs>
        <w:ind w:right="-1"/>
      </w:pPr>
      <w:r w:rsidRPr="008B0971">
        <w:t>U 2025. dana su</w:t>
      </w:r>
      <w:r w:rsidRPr="008B0971">
        <w:rPr>
          <w:b/>
        </w:rPr>
        <w:t xml:space="preserve"> četiri jamstva u ukupnom iznosu od 444.777.830,86 eura</w:t>
      </w:r>
      <w:r w:rsidRPr="001229AE">
        <w:t xml:space="preserve"> te su na koncu 2025. </w:t>
      </w:r>
      <w:r w:rsidRPr="008B0971">
        <w:rPr>
          <w:b/>
        </w:rPr>
        <w:t>ukupne potencijalne obveze na temelju danih aktivnih jamstava</w:t>
      </w:r>
      <w:r w:rsidRPr="001229AE">
        <w:t xml:space="preserve"> iskazane u iznosu od </w:t>
      </w:r>
      <w:r w:rsidRPr="008B0971">
        <w:rPr>
          <w:b/>
        </w:rPr>
        <w:t>5.489.952.036,13 eura</w:t>
      </w:r>
      <w:r w:rsidRPr="001229AE">
        <w:t>.</w:t>
      </w:r>
    </w:p>
    <w:p w:rsidR="001229AE" w:rsidRPr="001229AE" w:rsidRDefault="001229AE" w:rsidP="001229AE">
      <w:pPr>
        <w:tabs>
          <w:tab w:val="left" w:pos="0"/>
          <w:tab w:val="left" w:pos="708"/>
        </w:tabs>
        <w:ind w:right="-1"/>
        <w:rPr>
          <w:rFonts w:eastAsia="Calibri" w:cs="Arial"/>
        </w:rPr>
      </w:pPr>
    </w:p>
    <w:p w:rsidR="001229AE" w:rsidRDefault="001229AE" w:rsidP="001229AE">
      <w:pPr>
        <w:tabs>
          <w:tab w:val="left" w:pos="0"/>
          <w:tab w:val="left" w:pos="708"/>
        </w:tabs>
        <w:ind w:right="-1"/>
        <w:rPr>
          <w:rFonts w:eastAsia="Calibri" w:cs="Arial"/>
        </w:rPr>
      </w:pPr>
      <w:r w:rsidRPr="001229AE">
        <w:rPr>
          <w:rFonts w:eastAsia="Calibri" w:cs="Arial"/>
        </w:rPr>
        <w:t xml:space="preserve">Prema podacima iz Izvještaja o zaduživanju na domaćem i stranom tržištu novca i kapitala za 2025., </w:t>
      </w:r>
      <w:r w:rsidRPr="001229AE">
        <w:rPr>
          <w:rFonts w:eastAsia="Calibri" w:cs="Arial"/>
          <w:b/>
        </w:rPr>
        <w:t>dug državnog proračuna</w:t>
      </w:r>
      <w:r w:rsidRPr="001229AE">
        <w:rPr>
          <w:rFonts w:eastAsia="Calibri" w:cs="Arial"/>
        </w:rPr>
        <w:t xml:space="preserve"> koji se odnosi na obveze za vrijednosne papire, kredite i zajmove koje je ugovorilo ili preuzelo Ministarstvo financija koncem 2025. iznosio je </w:t>
      </w:r>
      <w:r w:rsidRPr="001229AE">
        <w:rPr>
          <w:rFonts w:eastAsia="Calibri" w:cs="Arial"/>
          <w:b/>
        </w:rPr>
        <w:t xml:space="preserve">45.117.551.422,87 eura </w:t>
      </w:r>
      <w:r w:rsidRPr="001229AE">
        <w:rPr>
          <w:rFonts w:eastAsia="Calibri" w:cs="Arial"/>
        </w:rPr>
        <w:t xml:space="preserve">i veći je za 3.069.547.359,37 eura ili </w:t>
      </w:r>
      <w:r w:rsidRPr="002C34E9">
        <w:rPr>
          <w:rFonts w:eastAsia="Calibri" w:cs="Arial"/>
          <w:b/>
        </w:rPr>
        <w:t>7</w:t>
      </w:r>
      <w:r w:rsidRPr="008B0971">
        <w:rPr>
          <w:rFonts w:eastAsia="Calibri" w:cs="Arial"/>
          <w:b/>
        </w:rPr>
        <w:t>,3 % u odnosu na 2024</w:t>
      </w:r>
      <w:r w:rsidRPr="001229AE">
        <w:rPr>
          <w:rFonts w:eastAsia="Calibri" w:cs="Arial"/>
        </w:rPr>
        <w:t>. u odnosu na prethodnu godinu. Osnovni uzrok povećanja duga je zaduživanje zbog ostvarenja manjih prihoda u odnosu na rashode državnog proračuna te financiranja izdataka.</w:t>
      </w:r>
    </w:p>
    <w:p w:rsidR="001229AE" w:rsidRPr="001229AE" w:rsidRDefault="001229AE" w:rsidP="001229AE">
      <w:pPr>
        <w:tabs>
          <w:tab w:val="left" w:pos="0"/>
          <w:tab w:val="left" w:pos="708"/>
        </w:tabs>
        <w:ind w:right="-1"/>
        <w:rPr>
          <w:rFonts w:eastAsia="Calibri" w:cs="Arial"/>
        </w:rPr>
      </w:pPr>
    </w:p>
    <w:p w:rsidR="001229AE" w:rsidRPr="001229AE" w:rsidRDefault="001229AE" w:rsidP="001229AE">
      <w:pPr>
        <w:ind w:right="-1"/>
      </w:pPr>
      <w:r w:rsidRPr="001229AE">
        <w:t xml:space="preserve">Zajedno s ukupnim jamstvima kao potencijalnim obvezama koje bi se mogle plaćati na teret državnog proračuna, a koje su iskazane u iznosu od 5.489.952.036,13 eura, sveukupni dug iznosi </w:t>
      </w:r>
      <w:r w:rsidRPr="001229AE">
        <w:rPr>
          <w:b/>
        </w:rPr>
        <w:t>50.607.503.459,00 eura</w:t>
      </w:r>
      <w:r w:rsidRPr="001229AE">
        <w:t>.</w:t>
      </w:r>
    </w:p>
    <w:p w:rsidR="001229AE" w:rsidRDefault="001229AE" w:rsidP="001229AE">
      <w:pPr>
        <w:contextualSpacing/>
      </w:pPr>
    </w:p>
    <w:p w:rsidR="00DB3664" w:rsidRDefault="00DB3664" w:rsidP="00DB3664">
      <w:pPr>
        <w:contextualSpacing/>
        <w:rPr>
          <w:rFonts w:eastAsia="Calibri" w:cs="Arial"/>
        </w:rPr>
      </w:pPr>
      <w:r w:rsidRPr="001229AE">
        <w:t xml:space="preserve">Nepravilnosti koje su utjecale na izražavanje </w:t>
      </w:r>
      <w:r>
        <w:t xml:space="preserve">mišljenja </w:t>
      </w:r>
      <w:r w:rsidRPr="001229AE">
        <w:t>utvr</w:t>
      </w:r>
      <w:r>
        <w:t>đene su</w:t>
      </w:r>
      <w:r w:rsidRPr="001229AE">
        <w:t xml:space="preserve"> u </w:t>
      </w:r>
      <w:r w:rsidRPr="0098429A">
        <w:t xml:space="preserve">područjima pripreme i izvršenja proračuna, prihoda, državnih jamstava </w:t>
      </w:r>
      <w:r>
        <w:t>i</w:t>
      </w:r>
      <w:r w:rsidRPr="0098429A">
        <w:t xml:space="preserve"> zaduživanja. </w:t>
      </w:r>
      <w:r w:rsidRPr="0098429A">
        <w:rPr>
          <w:rFonts w:eastAsia="Calibri" w:cs="Arial"/>
        </w:rPr>
        <w:t>Za utvrđene nepravilnosti i propuste Državni ured za reviziju dao</w:t>
      </w:r>
      <w:r w:rsidR="00367AA5">
        <w:rPr>
          <w:rFonts w:eastAsia="Calibri" w:cs="Arial"/>
        </w:rPr>
        <w:t xml:space="preserve"> je sveukupno</w:t>
      </w:r>
      <w:r w:rsidRPr="0098429A">
        <w:rPr>
          <w:rFonts w:eastAsia="Calibri" w:cs="Arial"/>
        </w:rPr>
        <w:t xml:space="preserve"> </w:t>
      </w:r>
      <w:r w:rsidRPr="0098429A">
        <w:rPr>
          <w:rFonts w:eastAsia="Calibri" w:cs="Arial"/>
          <w:b/>
        </w:rPr>
        <w:t>17 naloga i preporuka</w:t>
      </w:r>
      <w:r w:rsidRPr="0098429A">
        <w:rPr>
          <w:rFonts w:eastAsia="Calibri" w:cs="Arial"/>
        </w:rPr>
        <w:t>, čija bi provedba pridonijela točnosti iskazivanja podataka u godišnjem izvještaju o izvršenju državnog proračuna i učinkovitijem upravljanju proračunskim sredstvima.</w:t>
      </w:r>
      <w:r>
        <w:rPr>
          <w:rFonts w:eastAsia="Calibri" w:cs="Arial"/>
        </w:rPr>
        <w:t xml:space="preserve"> </w:t>
      </w:r>
    </w:p>
    <w:p w:rsidR="00DB3664" w:rsidRDefault="00DB3664" w:rsidP="00DB3664">
      <w:pPr>
        <w:contextualSpacing/>
        <w:rPr>
          <w:rFonts w:eastAsia="Calibri" w:cs="Arial"/>
        </w:rPr>
      </w:pPr>
    </w:p>
    <w:p w:rsidR="00DB3664" w:rsidRPr="0098429A" w:rsidRDefault="00DB3664" w:rsidP="00DB3664">
      <w:pPr>
        <w:contextualSpacing/>
        <w:rPr>
          <w:rFonts w:eastAsia="Calibri" w:cs="Arial"/>
        </w:rPr>
      </w:pPr>
      <w:r>
        <w:rPr>
          <w:rFonts w:eastAsia="Calibri" w:cs="Arial"/>
        </w:rPr>
        <w:t>Nepravil</w:t>
      </w:r>
      <w:r w:rsidR="00BA70AE">
        <w:rPr>
          <w:rFonts w:eastAsia="Calibri" w:cs="Arial"/>
        </w:rPr>
        <w:t>nosti koje su utjecale na izražavanje</w:t>
      </w:r>
      <w:r>
        <w:rPr>
          <w:rFonts w:eastAsia="Calibri" w:cs="Arial"/>
        </w:rPr>
        <w:t xml:space="preserve"> mišljenj</w:t>
      </w:r>
      <w:r w:rsidR="00BA70AE">
        <w:rPr>
          <w:rFonts w:eastAsia="Calibri" w:cs="Arial"/>
        </w:rPr>
        <w:t>a</w:t>
      </w:r>
      <w:r>
        <w:rPr>
          <w:rFonts w:eastAsia="Calibri" w:cs="Arial"/>
        </w:rPr>
        <w:t xml:space="preserve"> navode se u nastavku.</w:t>
      </w:r>
    </w:p>
    <w:p w:rsidR="001229AE" w:rsidRDefault="001229AE" w:rsidP="001229AE">
      <w:pPr>
        <w:contextualSpacing/>
        <w:rPr>
          <w:color w:val="31849B" w:themeColor="accent5" w:themeShade="BF"/>
        </w:rPr>
      </w:pPr>
    </w:p>
    <w:p w:rsidR="007D6A44" w:rsidRDefault="00DB3664" w:rsidP="007D6A44">
      <w:pPr>
        <w:contextualSpacing/>
        <w:rPr>
          <w:rFonts w:cs="Arial"/>
        </w:rPr>
      </w:pPr>
      <w:r w:rsidRPr="00DB3664">
        <w:rPr>
          <w:rFonts w:cs="Arial"/>
        </w:rPr>
        <w:t>U izračun prijenosa sredstava iz prethodne godine (kod planiranja i kod izvršavanja) i prijenosa sredstava u narednu godinu (kod planiranja) nisu uključene sve bilančne kategorije propisane odredbama Pravilnika o planiranju u sustavu proračuna</w:t>
      </w:r>
      <w:r>
        <w:rPr>
          <w:rFonts w:cs="Arial"/>
        </w:rPr>
        <w:t>.</w:t>
      </w:r>
    </w:p>
    <w:p w:rsidR="00DB3664" w:rsidRDefault="00DB3664" w:rsidP="007D6A44">
      <w:pPr>
        <w:contextualSpacing/>
        <w:rPr>
          <w:rFonts w:cs="Arial"/>
        </w:rPr>
      </w:pPr>
    </w:p>
    <w:p w:rsidR="007D6A44" w:rsidRPr="0098429A" w:rsidRDefault="00833D90" w:rsidP="007D6A44">
      <w:pPr>
        <w:contextualSpacing/>
        <w:rPr>
          <w:rFonts w:cs="Arial"/>
          <w:i/>
        </w:rPr>
      </w:pPr>
      <w:r>
        <w:rPr>
          <w:rFonts w:cs="Arial"/>
        </w:rPr>
        <w:t>M</w:t>
      </w:r>
      <w:r w:rsidR="007D6A44" w:rsidRPr="002A1841">
        <w:rPr>
          <w:rFonts w:cs="Arial"/>
        </w:rPr>
        <w:t>eđusobni prijenosi sredstava između proračunskih korisnika državnog proračuna nisu pravilno iskazani, odnosno ukupni rashodi u okviru podskupine 369 i ukupni prihodi u okviru p</w:t>
      </w:r>
      <w:r w:rsidR="003854BB">
        <w:rPr>
          <w:rFonts w:cs="Arial"/>
        </w:rPr>
        <w:t xml:space="preserve">odskupine 639 nisu planirani u </w:t>
      </w:r>
      <w:r w:rsidR="007D6A44" w:rsidRPr="002A1841">
        <w:rPr>
          <w:rFonts w:cs="Arial"/>
        </w:rPr>
        <w:t>jednakom iznosu, a isto tako ni izvršeni u istom iznosu</w:t>
      </w:r>
      <w:r>
        <w:rPr>
          <w:rFonts w:cs="Arial"/>
        </w:rPr>
        <w:t>.</w:t>
      </w:r>
      <w:r w:rsidR="007D6A44" w:rsidRPr="002A1841">
        <w:rPr>
          <w:rFonts w:cs="Arial"/>
        </w:rPr>
        <w:t xml:space="preserve"> Tako su prijenosi u okviru rashoda planirani u iznosu većem za 7.411.907,00 eura od iznosa planiranog u okviru prihoda. Također, u izvršenju su iskazani rashodi podskupine 369 veći od iskazanih priho</w:t>
      </w:r>
      <w:r w:rsidR="002C34E9">
        <w:rPr>
          <w:rFonts w:cs="Arial"/>
        </w:rPr>
        <w:t xml:space="preserve">da podskupina 639 za </w:t>
      </w:r>
      <w:r w:rsidR="007D6A44" w:rsidRPr="002A1841">
        <w:rPr>
          <w:rFonts w:cs="Arial"/>
        </w:rPr>
        <w:t xml:space="preserve">2.667.406,78 eura. </w:t>
      </w:r>
      <w:r w:rsidR="007D6A44" w:rsidRPr="00232A3E">
        <w:rPr>
          <w:rFonts w:cs="Arial"/>
        </w:rPr>
        <w:t>N</w:t>
      </w:r>
      <w:r w:rsidR="0098429A" w:rsidRPr="00232A3E">
        <w:rPr>
          <w:rFonts w:cs="Arial"/>
        </w:rPr>
        <w:t xml:space="preserve">avedena nepravilnost </w:t>
      </w:r>
      <w:r w:rsidR="0098429A" w:rsidRPr="00833D90">
        <w:rPr>
          <w:rFonts w:cs="Arial"/>
        </w:rPr>
        <w:t>utjecala je</w:t>
      </w:r>
      <w:r w:rsidR="007D6A44" w:rsidRPr="00833D90">
        <w:rPr>
          <w:rFonts w:cs="Arial"/>
        </w:rPr>
        <w:t xml:space="preserve"> </w:t>
      </w:r>
      <w:r w:rsidR="007D6A44" w:rsidRPr="00232A3E">
        <w:rPr>
          <w:rFonts w:cs="Arial"/>
        </w:rPr>
        <w:t>na strukturu iskazanih prihoda i rashoda državnog proračuna</w:t>
      </w:r>
      <w:r w:rsidR="007D6A44" w:rsidRPr="0098429A">
        <w:rPr>
          <w:rFonts w:cs="Arial"/>
          <w:i/>
        </w:rPr>
        <w:t>.</w:t>
      </w:r>
    </w:p>
    <w:p w:rsidR="007D6A44" w:rsidRDefault="007D6A44" w:rsidP="007D6A44">
      <w:pPr>
        <w:ind w:firstLine="567"/>
        <w:contextualSpacing/>
        <w:rPr>
          <w:rFonts w:cs="Arial"/>
          <w:color w:val="FF0000"/>
        </w:rPr>
      </w:pPr>
    </w:p>
    <w:p w:rsidR="0098429A" w:rsidRDefault="007D6A44" w:rsidP="007D6A44">
      <w:pPr>
        <w:contextualSpacing/>
        <w:rPr>
          <w:rFonts w:cs="Arial"/>
        </w:rPr>
      </w:pPr>
      <w:r w:rsidRPr="00195B42">
        <w:t xml:space="preserve">Također, </w:t>
      </w:r>
      <w:r w:rsidRPr="00195B42">
        <w:rPr>
          <w:rFonts w:cs="Arial"/>
        </w:rPr>
        <w:t>Odluka o visini, načinu i rokovima uplate sredstava trgovačkih društava u državnom vlasništvu u Državni prorač</w:t>
      </w:r>
      <w:r w:rsidR="0090292D">
        <w:rPr>
          <w:rFonts w:cs="Arial"/>
        </w:rPr>
        <w:t>un Republike Hrvatske za 2025.</w:t>
      </w:r>
      <w:r w:rsidRPr="00195B42">
        <w:rPr>
          <w:rFonts w:cs="Arial"/>
        </w:rPr>
        <w:t xml:space="preserve"> </w:t>
      </w:r>
      <w:r w:rsidRPr="00647710">
        <w:rPr>
          <w:rFonts w:cs="Arial"/>
        </w:rPr>
        <w:t xml:space="preserve">donesena </w:t>
      </w:r>
      <w:r>
        <w:rPr>
          <w:rFonts w:cs="Arial"/>
        </w:rPr>
        <w:t xml:space="preserve">je </w:t>
      </w:r>
      <w:r w:rsidRPr="00647710">
        <w:rPr>
          <w:rFonts w:cs="Arial"/>
        </w:rPr>
        <w:t>u studenom</w:t>
      </w:r>
      <w:r w:rsidR="0090292D">
        <w:rPr>
          <w:rFonts w:cs="Arial"/>
        </w:rPr>
        <w:t>e</w:t>
      </w:r>
      <w:r w:rsidRPr="00647710">
        <w:rPr>
          <w:rFonts w:cs="Arial"/>
        </w:rPr>
        <w:t xml:space="preserve"> 2025.</w:t>
      </w:r>
      <w:r>
        <w:rPr>
          <w:rFonts w:cs="Arial"/>
        </w:rPr>
        <w:t xml:space="preserve">, odnosno donesena je, </w:t>
      </w:r>
      <w:r w:rsidRPr="00195B42">
        <w:rPr>
          <w:rFonts w:cs="Arial"/>
        </w:rPr>
        <w:t>kao i prošlih godina</w:t>
      </w:r>
      <w:r>
        <w:rPr>
          <w:rFonts w:cs="Arial"/>
        </w:rPr>
        <w:t>, nakon</w:t>
      </w:r>
      <w:r w:rsidRPr="00195B42">
        <w:rPr>
          <w:rFonts w:cs="Arial"/>
        </w:rPr>
        <w:t xml:space="preserve"> donošenja odluka trgovačkih društava o raspodjeli dobiti za prethodnu godinu</w:t>
      </w:r>
      <w:r w:rsidR="0098429A">
        <w:rPr>
          <w:rFonts w:cs="Arial"/>
        </w:rPr>
        <w:t>.</w:t>
      </w:r>
    </w:p>
    <w:p w:rsidR="00833D90" w:rsidRDefault="00833D90" w:rsidP="007D6A44">
      <w:pPr>
        <w:contextualSpacing/>
        <w:rPr>
          <w:rFonts w:cs="Arial"/>
        </w:rPr>
      </w:pPr>
    </w:p>
    <w:p w:rsidR="0098429A" w:rsidRDefault="007D6A44" w:rsidP="007D6A44">
      <w:pPr>
        <w:contextualSpacing/>
      </w:pPr>
      <w:r w:rsidRPr="0098429A">
        <w:rPr>
          <w:rFonts w:cs="Arial"/>
        </w:rPr>
        <w:t xml:space="preserve">Zbog navedenog </w:t>
      </w:r>
      <w:r w:rsidRPr="0098429A">
        <w:t>u Državni proračun za 2025. nije uplaćen dio dobiti trgovačkih društava za 2024.</w:t>
      </w:r>
      <w:r w:rsidR="0090292D">
        <w:t xml:space="preserve"> u iznosu od 42.694.861,72 eura</w:t>
      </w:r>
      <w:r w:rsidRPr="0098429A">
        <w:t xml:space="preserve"> te su u Godišnjem izvještaju za 2025. za navedeni iznos manje iskazani prihodi, što je, prema nacionalnoj metodologiji, utjecalo i na deficit državnog proračuna. </w:t>
      </w:r>
    </w:p>
    <w:p w:rsidR="007D6A44" w:rsidRDefault="007D6A44" w:rsidP="007D6A44">
      <w:pPr>
        <w:contextualSpacing/>
      </w:pPr>
      <w:r w:rsidRPr="00195B42">
        <w:lastRenderedPageBreak/>
        <w:t>Od navedenog iznosa dio dobiti u iznosu od 24.135.598,</w:t>
      </w:r>
      <w:r w:rsidR="0090292D">
        <w:t>68 eura umjesto u 2025. uplaćen</w:t>
      </w:r>
      <w:r w:rsidRPr="00195B42">
        <w:t xml:space="preserve"> je u 2026., a dio dobiti u iznosu od 18.559.263,04 eura do vremena obavljanja revizije u 2026. nije bio</w:t>
      </w:r>
      <w:r w:rsidR="003854BB">
        <w:t xml:space="preserve"> uplaćen (odnosi se na društvo </w:t>
      </w:r>
      <w:r w:rsidRPr="00195B42">
        <w:t>Hrvatska pošta d.d.)</w:t>
      </w:r>
      <w:r>
        <w:t>.</w:t>
      </w:r>
      <w:r w:rsidRPr="00195B42">
        <w:t xml:space="preserve"> Prema ESA metodologiji dio uplata izvršen u 2026. ušao je u deficit opće države za 2025. </w:t>
      </w:r>
    </w:p>
    <w:p w:rsidR="007D6A44" w:rsidRDefault="007D6A44" w:rsidP="007D6A44">
      <w:pPr>
        <w:ind w:firstLine="567"/>
        <w:contextualSpacing/>
      </w:pPr>
    </w:p>
    <w:p w:rsidR="007D6A44" w:rsidRDefault="007D6A44" w:rsidP="007D6A44">
      <w:pPr>
        <w:contextualSpacing/>
        <w:rPr>
          <w:rFonts w:cs="Arial"/>
        </w:rPr>
      </w:pPr>
      <w:r>
        <w:rPr>
          <w:rFonts w:cs="Arial"/>
        </w:rPr>
        <w:t>Nadalje, u</w:t>
      </w:r>
      <w:r w:rsidRPr="00647710">
        <w:rPr>
          <w:rFonts w:cs="Arial"/>
        </w:rPr>
        <w:t xml:space="preserve"> 2025. Republika Hrvatska je</w:t>
      </w:r>
      <w:r w:rsidR="0090292D">
        <w:rPr>
          <w:rFonts w:cs="Arial"/>
        </w:rPr>
        <w:t>,</w:t>
      </w:r>
      <w:r w:rsidRPr="00647710">
        <w:rPr>
          <w:rFonts w:cs="Arial"/>
        </w:rPr>
        <w:t xml:space="preserve"> na ime namirenja dijela potraživanja po osnovi protestiranih jamstava prema društvu 3. MAJ Brodogradilište d.d., stekla poslovne udjele u društvu 3. MAJ Rijeka 1905 d.o.o. u iznosu od 10.313.220,00 eura te su u navedenom iznosu smanjena navedena potraživanja. Proda</w:t>
      </w:r>
      <w:r w:rsidR="00FE2384">
        <w:rPr>
          <w:rFonts w:cs="Arial"/>
        </w:rPr>
        <w:t>jom</w:t>
      </w:r>
      <w:r w:rsidRPr="00647710">
        <w:rPr>
          <w:rFonts w:cs="Arial"/>
        </w:rPr>
        <w:t xml:space="preserve"> </w:t>
      </w:r>
      <w:r w:rsidR="00FE2384">
        <w:rPr>
          <w:rFonts w:cs="Arial"/>
        </w:rPr>
        <w:t>stečenih</w:t>
      </w:r>
      <w:r w:rsidRPr="00647710">
        <w:rPr>
          <w:rFonts w:cs="Arial"/>
        </w:rPr>
        <w:t xml:space="preserve"> </w:t>
      </w:r>
      <w:r w:rsidR="00FE2384">
        <w:rPr>
          <w:rFonts w:cs="Arial"/>
        </w:rPr>
        <w:t xml:space="preserve">udjela </w:t>
      </w:r>
      <w:r w:rsidRPr="00647710">
        <w:rPr>
          <w:rFonts w:cs="Arial"/>
        </w:rPr>
        <w:t>u ožujku 2026</w:t>
      </w:r>
      <w:r w:rsidR="00FE2384">
        <w:rPr>
          <w:rFonts w:cs="Arial"/>
        </w:rPr>
        <w:t>. ostvaren je iznos</w:t>
      </w:r>
      <w:r w:rsidRPr="00647710">
        <w:rPr>
          <w:rFonts w:cs="Arial"/>
        </w:rPr>
        <w:t xml:space="preserve"> od 6.665.100,00 eura</w:t>
      </w:r>
      <w:r w:rsidR="00FE2384">
        <w:rPr>
          <w:rFonts w:cs="Arial"/>
        </w:rPr>
        <w:t xml:space="preserve">, </w:t>
      </w:r>
      <w:r w:rsidR="0040732D">
        <w:rPr>
          <w:rFonts w:cs="Arial"/>
        </w:rPr>
        <w:t>međutim,</w:t>
      </w:r>
      <w:r w:rsidRPr="00647710">
        <w:rPr>
          <w:rFonts w:cs="Arial"/>
        </w:rPr>
        <w:t xml:space="preserve"> na temelju sudske nagodbe </w:t>
      </w:r>
      <w:r w:rsidR="0040732D">
        <w:rPr>
          <w:rFonts w:cs="Arial"/>
        </w:rPr>
        <w:t>iz</w:t>
      </w:r>
      <w:r w:rsidRPr="00647710">
        <w:rPr>
          <w:rFonts w:cs="Arial"/>
        </w:rPr>
        <w:t xml:space="preserve"> siječnj</w:t>
      </w:r>
      <w:r w:rsidR="0040732D">
        <w:rPr>
          <w:rFonts w:cs="Arial"/>
        </w:rPr>
        <w:t>a</w:t>
      </w:r>
      <w:r w:rsidRPr="00647710">
        <w:rPr>
          <w:rFonts w:cs="Arial"/>
        </w:rPr>
        <w:t xml:space="preserve"> 2026. između Republike Hrvatske (kao tuženika) i društva 3. MAJ Brodogradilište d.d. u stečaju (kao tužitelja), </w:t>
      </w:r>
      <w:r w:rsidR="00FE2384">
        <w:rPr>
          <w:rFonts w:cs="Arial"/>
        </w:rPr>
        <w:t xml:space="preserve">iznos je </w:t>
      </w:r>
      <w:r w:rsidR="0040732D">
        <w:rPr>
          <w:rFonts w:cs="Arial"/>
        </w:rPr>
        <w:t xml:space="preserve">uplaćen </w:t>
      </w:r>
      <w:r w:rsidRPr="00647710">
        <w:rPr>
          <w:rFonts w:cs="Arial"/>
        </w:rPr>
        <w:t>u stečajnu masu društva 3. MAJ Brodogradilište d.d. u stečaju</w:t>
      </w:r>
      <w:r w:rsidR="00FE2384">
        <w:rPr>
          <w:rFonts w:cs="Arial"/>
        </w:rPr>
        <w:t>,</w:t>
      </w:r>
      <w:r w:rsidR="00833D90">
        <w:rPr>
          <w:rFonts w:cs="Arial"/>
        </w:rPr>
        <w:t xml:space="preserve"> </w:t>
      </w:r>
      <w:r w:rsidR="00FE2384">
        <w:rPr>
          <w:rFonts w:cs="Arial"/>
        </w:rPr>
        <w:t xml:space="preserve">a </w:t>
      </w:r>
      <w:r w:rsidR="00833D90">
        <w:rPr>
          <w:rFonts w:cs="Arial"/>
        </w:rPr>
        <w:t>Republik</w:t>
      </w:r>
      <w:r w:rsidR="00FE2384">
        <w:rPr>
          <w:rFonts w:cs="Arial"/>
        </w:rPr>
        <w:t>a</w:t>
      </w:r>
      <w:r w:rsidR="00833D90">
        <w:rPr>
          <w:rFonts w:cs="Arial"/>
        </w:rPr>
        <w:t xml:space="preserve"> Hrvatsk</w:t>
      </w:r>
      <w:r w:rsidR="00FE2384">
        <w:rPr>
          <w:rFonts w:cs="Arial"/>
        </w:rPr>
        <w:t>a</w:t>
      </w:r>
      <w:r w:rsidRPr="002215A2">
        <w:rPr>
          <w:rFonts w:cs="Arial"/>
        </w:rPr>
        <w:t xml:space="preserve"> je izvršil</w:t>
      </w:r>
      <w:r w:rsidR="00FE2384">
        <w:rPr>
          <w:rFonts w:cs="Arial"/>
        </w:rPr>
        <w:t>a</w:t>
      </w:r>
      <w:r w:rsidRPr="002215A2">
        <w:rPr>
          <w:rFonts w:cs="Arial"/>
        </w:rPr>
        <w:t xml:space="preserve"> prijavu tražbine </w:t>
      </w:r>
      <w:r w:rsidR="00C6279D">
        <w:rPr>
          <w:rFonts w:cs="Arial"/>
        </w:rPr>
        <w:t xml:space="preserve">(potraživanja) </w:t>
      </w:r>
      <w:r w:rsidRPr="002215A2">
        <w:rPr>
          <w:rFonts w:cs="Arial"/>
        </w:rPr>
        <w:t>u iznosu od 6.665.100,00 eur</w:t>
      </w:r>
      <w:r>
        <w:rPr>
          <w:rFonts w:cs="Arial"/>
        </w:rPr>
        <w:t>a</w:t>
      </w:r>
      <w:r w:rsidRPr="002215A2">
        <w:rPr>
          <w:rFonts w:cs="Arial"/>
        </w:rPr>
        <w:t>.</w:t>
      </w:r>
    </w:p>
    <w:p w:rsidR="007D6A44" w:rsidRDefault="007D6A44" w:rsidP="007D6A44">
      <w:pPr>
        <w:contextualSpacing/>
        <w:rPr>
          <w:rFonts w:cs="Arial"/>
        </w:rPr>
      </w:pPr>
    </w:p>
    <w:p w:rsidR="007D6A44" w:rsidRDefault="007D6A44" w:rsidP="007D6A44">
      <w:pPr>
        <w:contextualSpacing/>
        <w:rPr>
          <w:rFonts w:cs="Arial"/>
        </w:rPr>
      </w:pPr>
      <w:r>
        <w:rPr>
          <w:rFonts w:cs="Arial"/>
        </w:rPr>
        <w:t>Nadalje, p</w:t>
      </w:r>
      <w:r w:rsidRPr="006774B5">
        <w:rPr>
          <w:rFonts w:cs="Arial"/>
        </w:rPr>
        <w:t xml:space="preserve">rimici od zaduživanja iskazani u Računu financiranja za 2025. ostvareni su u iznosu od 9.116.117.378,41 euro, što je </w:t>
      </w:r>
      <w:r w:rsidR="0090292D">
        <w:rPr>
          <w:rFonts w:cs="Arial"/>
        </w:rPr>
        <w:t xml:space="preserve">više </w:t>
      </w:r>
      <w:r w:rsidRPr="006774B5">
        <w:rPr>
          <w:rFonts w:cs="Arial"/>
        </w:rPr>
        <w:t>za 23</w:t>
      </w:r>
      <w:r w:rsidR="0090292D">
        <w:rPr>
          <w:rFonts w:cs="Arial"/>
        </w:rPr>
        <w:t>4.965.521,41 euro ili 2,6 %</w:t>
      </w:r>
      <w:r w:rsidRPr="006774B5">
        <w:rPr>
          <w:rFonts w:cs="Arial"/>
        </w:rPr>
        <w:t xml:space="preserve"> od zakonom propisane visine zaduživanja.</w:t>
      </w:r>
      <w:r w:rsidRPr="006774B5">
        <w:t xml:space="preserve"> </w:t>
      </w:r>
      <w:r w:rsidRPr="006774B5">
        <w:rPr>
          <w:rFonts w:cs="Arial"/>
        </w:rPr>
        <w:t>Do navedenog prekoračenja propisane visine zaduživanja došlo je zbog povlačenja III. tranše Zajma NPOO u iznosu od 465.534.080,00 eura koncem godine, čije povlačenje nije bilo planirano u 2025.</w:t>
      </w:r>
    </w:p>
    <w:p w:rsidR="007D6A44" w:rsidRDefault="007D6A44" w:rsidP="007D6A44">
      <w:pPr>
        <w:contextualSpacing/>
        <w:rPr>
          <w:rFonts w:cs="Arial"/>
        </w:rPr>
      </w:pPr>
    </w:p>
    <w:p w:rsidR="007D6A44" w:rsidRPr="00311AB7" w:rsidRDefault="00C6279D" w:rsidP="007D6A44">
      <w:pPr>
        <w:contextualSpacing/>
        <w:rPr>
          <w:rFonts w:cs="Arial"/>
        </w:rPr>
      </w:pPr>
      <w:r>
        <w:rPr>
          <w:rFonts w:cs="Arial"/>
        </w:rPr>
        <w:t>U</w:t>
      </w:r>
      <w:r w:rsidR="007D6A44" w:rsidRPr="00D44AC4">
        <w:rPr>
          <w:rFonts w:cs="Arial"/>
        </w:rPr>
        <w:t xml:space="preserve"> Izvješću su opisane i druge činjenice koje nisu utjecale na izražavanje mišljenja te su dane preporuke i skrenuta je pozornost kako bi se uočeni propusti ispravili.</w:t>
      </w:r>
      <w:r w:rsidR="007D6A44" w:rsidRPr="002D3D5D">
        <w:t xml:space="preserve"> </w:t>
      </w:r>
      <w:r w:rsidR="0090292D">
        <w:rPr>
          <w:rFonts w:cs="Arial"/>
        </w:rPr>
        <w:t xml:space="preserve">U području računovodstvenog </w:t>
      </w:r>
      <w:r w:rsidR="007D6A44" w:rsidRPr="002D3D5D">
        <w:rPr>
          <w:rFonts w:cs="Arial"/>
        </w:rPr>
        <w:t>okvir</w:t>
      </w:r>
      <w:r w:rsidR="0090292D">
        <w:rPr>
          <w:rFonts w:cs="Arial"/>
        </w:rPr>
        <w:t>a i izvještavanja</w:t>
      </w:r>
      <w:r w:rsidR="007D6A44" w:rsidRPr="002D3D5D">
        <w:rPr>
          <w:rFonts w:cs="Arial"/>
        </w:rPr>
        <w:t xml:space="preserve"> dane su preporuke za poboljšanje normativnog uređenja pojedinih izvještaja u okviru godišnjeg izvještaja</w:t>
      </w:r>
      <w:r w:rsidR="007D6A44">
        <w:rPr>
          <w:rFonts w:cs="Arial"/>
        </w:rPr>
        <w:t xml:space="preserve"> o izvršenju državnog proračuna</w:t>
      </w:r>
      <w:r w:rsidR="0090292D">
        <w:rPr>
          <w:rFonts w:cs="Arial"/>
        </w:rPr>
        <w:t>, dok su u području p</w:t>
      </w:r>
      <w:r w:rsidR="007D6A44">
        <w:rPr>
          <w:rFonts w:cs="Arial"/>
        </w:rPr>
        <w:t xml:space="preserve">rihoda dane </w:t>
      </w:r>
      <w:r w:rsidR="007D6A44" w:rsidRPr="002D3D5D">
        <w:rPr>
          <w:rFonts w:cs="Arial"/>
        </w:rPr>
        <w:t xml:space="preserve">preporuke u vezi s prihodima ostvarenim od igara na sreću i </w:t>
      </w:r>
      <w:r w:rsidR="008412FF">
        <w:rPr>
          <w:rFonts w:cs="Arial"/>
        </w:rPr>
        <w:t>poboljšanjem</w:t>
      </w:r>
      <w:r w:rsidR="007D6A44">
        <w:rPr>
          <w:rFonts w:cs="Arial"/>
        </w:rPr>
        <w:t xml:space="preserve"> </w:t>
      </w:r>
      <w:r w:rsidR="007D6A44" w:rsidRPr="002D3D5D">
        <w:rPr>
          <w:rFonts w:cs="Arial"/>
        </w:rPr>
        <w:t>izvještavanj</w:t>
      </w:r>
      <w:r w:rsidR="007D6A44">
        <w:rPr>
          <w:rFonts w:cs="Arial"/>
        </w:rPr>
        <w:t>a</w:t>
      </w:r>
      <w:r w:rsidR="007D6A44" w:rsidRPr="002D3D5D">
        <w:rPr>
          <w:rFonts w:cs="Arial"/>
        </w:rPr>
        <w:t xml:space="preserve"> o utrošku navedenih prihoda</w:t>
      </w:r>
      <w:r w:rsidR="007D6A44">
        <w:rPr>
          <w:rFonts w:cs="Arial"/>
        </w:rPr>
        <w:t>.</w:t>
      </w:r>
    </w:p>
    <w:p w:rsidR="007D6A44" w:rsidRDefault="007D6A44" w:rsidP="007D6A44">
      <w:pPr>
        <w:rPr>
          <w:rFonts w:cs="Arial"/>
        </w:rPr>
      </w:pPr>
    </w:p>
    <w:p w:rsidR="007D6A44" w:rsidRPr="006774B5" w:rsidRDefault="0098429A" w:rsidP="007D6A44">
      <w:pPr>
        <w:rPr>
          <w:rFonts w:eastAsia="Calibri" w:cs="Arial"/>
        </w:rPr>
      </w:pPr>
      <w:r w:rsidRPr="00C6279D">
        <w:rPr>
          <w:rFonts w:eastAsia="Calibri" w:cs="Arial"/>
        </w:rPr>
        <w:t>S</w:t>
      </w:r>
      <w:r w:rsidR="007D6A44" w:rsidRPr="00C6279D">
        <w:rPr>
          <w:rFonts w:eastAsia="Calibri" w:cs="Arial"/>
        </w:rPr>
        <w:t>kr</w:t>
      </w:r>
      <w:r w:rsidR="007D6A44" w:rsidRPr="006774B5">
        <w:rPr>
          <w:rFonts w:eastAsia="Calibri" w:cs="Arial"/>
        </w:rPr>
        <w:t>enu</w:t>
      </w:r>
      <w:r>
        <w:rPr>
          <w:rFonts w:eastAsia="Calibri" w:cs="Arial"/>
        </w:rPr>
        <w:t xml:space="preserve">ta </w:t>
      </w:r>
      <w:r w:rsidR="007D6A44" w:rsidRPr="006774B5">
        <w:rPr>
          <w:rFonts w:eastAsia="Calibri" w:cs="Arial"/>
        </w:rPr>
        <w:t>je pozornost na rashode za transfer sredstava Hrvatskom zavodu za zdravstveno osiguranje te stanje obveza zdravstvenih ustanova</w:t>
      </w:r>
      <w:r w:rsidR="007D6A44">
        <w:rPr>
          <w:rFonts w:eastAsia="Calibri" w:cs="Arial"/>
        </w:rPr>
        <w:t xml:space="preserve"> koje </w:t>
      </w:r>
      <w:r w:rsidR="008412FF">
        <w:rPr>
          <w:rFonts w:eastAsia="Calibri" w:cs="Arial"/>
        </w:rPr>
        <w:t xml:space="preserve">se </w:t>
      </w:r>
      <w:r w:rsidR="007D6A44">
        <w:rPr>
          <w:rFonts w:eastAsia="Calibri" w:cs="Arial"/>
        </w:rPr>
        <w:t>unatoč doznačenim sredstvima za podmirenje dospjelih obveza prema dobavljačima lijekova i potr</w:t>
      </w:r>
      <w:r w:rsidR="008412FF">
        <w:rPr>
          <w:rFonts w:eastAsia="Calibri" w:cs="Arial"/>
        </w:rPr>
        <w:t xml:space="preserve">ošnog medicinskog materijala </w:t>
      </w:r>
      <w:r w:rsidR="007D6A44">
        <w:rPr>
          <w:rFonts w:eastAsia="Calibri" w:cs="Arial"/>
        </w:rPr>
        <w:t>ne smanjuju</w:t>
      </w:r>
      <w:r w:rsidR="007D6A44" w:rsidRPr="006774B5">
        <w:rPr>
          <w:rFonts w:eastAsia="Calibri" w:cs="Arial"/>
        </w:rPr>
        <w:t>. Prema podacima Ministarstva financija, ukupne obveze za rashode poslovanja i nabavu nefinancijske imovine zdravstvenih ustanova i HZZO-a (bez obveza za kredite i zajmove) koncem 2025. iznosile su 2.890.251.640,00 eura</w:t>
      </w:r>
      <w:r w:rsidR="007D6A44" w:rsidRPr="006774B5">
        <w:rPr>
          <w:rFonts w:eastAsia="Calibri" w:cs="Arial"/>
          <w:color w:val="FF0000"/>
        </w:rPr>
        <w:t xml:space="preserve"> </w:t>
      </w:r>
      <w:r w:rsidR="00046F77">
        <w:rPr>
          <w:rFonts w:eastAsia="Calibri" w:cs="Arial"/>
        </w:rPr>
        <w:t xml:space="preserve">i veće su za </w:t>
      </w:r>
      <w:r w:rsidR="007D6A44" w:rsidRPr="006774B5">
        <w:rPr>
          <w:rFonts w:eastAsia="Calibri" w:cs="Arial"/>
        </w:rPr>
        <w:t>457.967.827,00 eura ili 18,8 % u odnosu na stanje koncem 2024.</w:t>
      </w:r>
    </w:p>
    <w:p w:rsidR="007D6A44" w:rsidRDefault="007D6A44" w:rsidP="007D6A44">
      <w:pPr>
        <w:ind w:right="-1"/>
        <w:rPr>
          <w:rFonts w:eastAsia="Calibri" w:cs="Arial"/>
        </w:rPr>
      </w:pPr>
    </w:p>
    <w:p w:rsidR="007D6A44" w:rsidRDefault="007D6A44" w:rsidP="007D6A44">
      <w:pPr>
        <w:ind w:right="-1"/>
        <w:rPr>
          <w:rFonts w:cs="Arial"/>
        </w:rPr>
      </w:pPr>
      <w:r w:rsidRPr="006774B5">
        <w:rPr>
          <w:rFonts w:eastAsia="Calibri" w:cs="Arial"/>
        </w:rPr>
        <w:t xml:space="preserve">Obveze zdravstvenih ustanova kojima je osnivač Republika Hrvatska i kojima su osnivači jedinice lokalne i područne (regionalne) samouprave koncem 2025. iznosile su 2.136.831.691,00 euro. U odnosu na 2024., kada su iznosile 1.829.461.232,70 eura, veće su za 307.370.458,30 eura ili 16,8 %, a u odnosu na 2023., kada su iznosile 1.507.722.363,00 eura, veće su za 629.109.328,00 eura ili 41,7 %. </w:t>
      </w:r>
    </w:p>
    <w:p w:rsidR="007D6A44" w:rsidRDefault="007D6A44" w:rsidP="007D6A44">
      <w:pPr>
        <w:ind w:right="-1"/>
        <w:rPr>
          <w:rFonts w:cs="Arial"/>
        </w:rPr>
      </w:pPr>
    </w:p>
    <w:p w:rsidR="0098429A" w:rsidRDefault="007D6A44" w:rsidP="007D6A44">
      <w:pPr>
        <w:ind w:right="-1"/>
        <w:rPr>
          <w:rFonts w:eastAsia="Calibri" w:cs="Arial"/>
        </w:rPr>
      </w:pPr>
      <w:r>
        <w:rPr>
          <w:rFonts w:eastAsia="Calibri" w:cs="Arial"/>
        </w:rPr>
        <w:t xml:space="preserve">Također, </w:t>
      </w:r>
      <w:r w:rsidRPr="00726B01">
        <w:rPr>
          <w:rFonts w:eastAsia="Calibri" w:cs="Arial"/>
        </w:rPr>
        <w:t xml:space="preserve">Državni ured za reviziju skrenuo je pozornost i na činjenice u vezi s namirenjem društava u željezničkom sektoru na temelju nagodbi o uređenju imovinsko-pravnih pitanja preostalih nakon podjele društva HŽ-Hrvatske željeznice d.o.o. </w:t>
      </w:r>
      <w:r w:rsidR="00522FF4">
        <w:rPr>
          <w:rFonts w:eastAsia="Calibri" w:cs="Arial"/>
        </w:rPr>
        <w:t>(</w:t>
      </w:r>
      <w:r w:rsidR="00522FF4" w:rsidRPr="00C6279D">
        <w:rPr>
          <w:rFonts w:eastAsia="Calibri" w:cs="Arial"/>
        </w:rPr>
        <w:t>2006.</w:t>
      </w:r>
      <w:r w:rsidR="00522FF4">
        <w:rPr>
          <w:rFonts w:eastAsia="Calibri" w:cs="Arial"/>
        </w:rPr>
        <w:t xml:space="preserve">) </w:t>
      </w:r>
      <w:r w:rsidRPr="00726B01">
        <w:rPr>
          <w:rFonts w:eastAsia="Calibri" w:cs="Arial"/>
        </w:rPr>
        <w:t>te u vezi s knjigovodstvenim evidentiranjem naplate potraživanja preuzimanjem (stjecanjem) nefinancijske i financijske imovine, na temelju pojedinih odluka Vlade RH, a koje se odnose na namirenje potraživanja Republike Hrvatske prema društvima Brodarski institut d.o.o. u lik</w:t>
      </w:r>
      <w:r w:rsidR="003854BB">
        <w:rPr>
          <w:rFonts w:eastAsia="Calibri" w:cs="Arial"/>
        </w:rPr>
        <w:t>vidaciji, Croatia Airlines d.d.</w:t>
      </w:r>
      <w:r w:rsidRPr="00726B01">
        <w:rPr>
          <w:rFonts w:eastAsia="Calibri" w:cs="Arial"/>
        </w:rPr>
        <w:t xml:space="preserve"> i društvu 3. MAJ Brodogradilište d.d. </w:t>
      </w:r>
    </w:p>
    <w:p w:rsidR="00C6279D" w:rsidRDefault="00C6279D" w:rsidP="007D6A44">
      <w:pPr>
        <w:ind w:right="-1"/>
        <w:rPr>
          <w:rFonts w:eastAsia="Calibri" w:cs="Arial"/>
        </w:rPr>
      </w:pPr>
    </w:p>
    <w:p w:rsidR="00C6279D" w:rsidRDefault="00C6279D" w:rsidP="007D6A44">
      <w:pPr>
        <w:ind w:right="-1"/>
        <w:rPr>
          <w:rFonts w:eastAsia="Calibri" w:cs="Arial"/>
        </w:rPr>
      </w:pPr>
    </w:p>
    <w:p w:rsidR="00C6279D" w:rsidRDefault="00C6279D" w:rsidP="007D6A44">
      <w:pPr>
        <w:ind w:right="-1"/>
        <w:rPr>
          <w:rFonts w:eastAsia="Calibri" w:cs="Arial"/>
        </w:rPr>
      </w:pPr>
    </w:p>
    <w:p w:rsidR="007D6A44" w:rsidRPr="0098429A" w:rsidRDefault="007D6A44" w:rsidP="007D6A44">
      <w:pPr>
        <w:ind w:right="-1"/>
        <w:rPr>
          <w:rFonts w:eastAsia="Calibri" w:cs="Arial"/>
        </w:rPr>
      </w:pPr>
      <w:r w:rsidRPr="0098429A">
        <w:rPr>
          <w:rFonts w:eastAsia="Calibri" w:cs="Arial"/>
        </w:rPr>
        <w:lastRenderedPageBreak/>
        <w:t>Provedba navedenih odluka utjecala je na podatke iskazane u Godišnjem izvještaju za 2025. na način da su evidentirani i iskazani prihodi i rashodi, primici i izdaci kao obračunske kategorije</w:t>
      </w:r>
      <w:r w:rsidR="002C7A7F">
        <w:rPr>
          <w:rFonts w:eastAsia="Calibri" w:cs="Arial"/>
        </w:rPr>
        <w:t>, odnosno</w:t>
      </w:r>
      <w:r w:rsidRPr="0098429A">
        <w:rPr>
          <w:rFonts w:eastAsia="Calibri" w:cs="Arial"/>
        </w:rPr>
        <w:t xml:space="preserve"> kod navedene naplate potraživanja nije bilo novčanog tijeka.</w:t>
      </w:r>
      <w:r w:rsidRPr="0098429A">
        <w:rPr>
          <w:rFonts w:eastAsia="Calibri" w:cs="Arial"/>
        </w:rPr>
        <w:tab/>
      </w:r>
    </w:p>
    <w:p w:rsidR="007D6A44" w:rsidRPr="0098429A" w:rsidRDefault="007D6A44" w:rsidP="007D6A44">
      <w:pPr>
        <w:ind w:right="-1"/>
        <w:rPr>
          <w:rFonts w:eastAsia="Calibri" w:cs="Arial"/>
        </w:rPr>
      </w:pPr>
    </w:p>
    <w:p w:rsidR="007D6A44" w:rsidRPr="00726B01" w:rsidRDefault="007D6A44" w:rsidP="007D6A44">
      <w:pPr>
        <w:ind w:right="-1"/>
        <w:rPr>
          <w:rFonts w:eastAsia="Calibri" w:cs="Arial"/>
        </w:rPr>
      </w:pPr>
      <w:r w:rsidRPr="00726B01">
        <w:rPr>
          <w:rFonts w:eastAsia="Calibri" w:cs="Arial"/>
        </w:rPr>
        <w:t>U okviru obavljene revizije provjerena je i provedba naloga i preporuka danih u prijašnjim revizijama. Utvrđeno je da je</w:t>
      </w:r>
      <w:r w:rsidR="002C7A7F">
        <w:rPr>
          <w:rFonts w:eastAsia="Calibri" w:cs="Arial"/>
        </w:rPr>
        <w:t>,</w:t>
      </w:r>
      <w:r w:rsidRPr="00726B01">
        <w:rPr>
          <w:rFonts w:eastAsia="Calibri" w:cs="Arial"/>
        </w:rPr>
        <w:t xml:space="preserve"> od 23 dana naloga i preporuke, </w:t>
      </w:r>
      <w:r w:rsidRPr="00A637D0">
        <w:rPr>
          <w:rFonts w:eastAsia="Calibri" w:cs="Arial"/>
          <w:b/>
        </w:rPr>
        <w:t>provedeno 30,4 %</w:t>
      </w:r>
      <w:r w:rsidRPr="00726B01">
        <w:rPr>
          <w:rFonts w:eastAsia="Calibri" w:cs="Arial"/>
        </w:rPr>
        <w:t xml:space="preserve"> (7) danih naloga i preporuka, </w:t>
      </w:r>
      <w:r w:rsidRPr="00A637D0">
        <w:rPr>
          <w:rFonts w:eastAsia="Calibri" w:cs="Arial"/>
          <w:b/>
        </w:rPr>
        <w:t>u postupku provedbe je 30,4 %</w:t>
      </w:r>
      <w:r w:rsidRPr="00726B01">
        <w:rPr>
          <w:rFonts w:eastAsia="Calibri" w:cs="Arial"/>
        </w:rPr>
        <w:t xml:space="preserve"> (7)</w:t>
      </w:r>
      <w:r w:rsidR="002C7A7F">
        <w:rPr>
          <w:rFonts w:eastAsia="Calibri" w:cs="Arial"/>
        </w:rPr>
        <w:t>,</w:t>
      </w:r>
      <w:r w:rsidRPr="00726B01">
        <w:rPr>
          <w:rFonts w:eastAsia="Calibri" w:cs="Arial"/>
        </w:rPr>
        <w:t xml:space="preserve"> dok je </w:t>
      </w:r>
      <w:r w:rsidRPr="00A637D0">
        <w:rPr>
          <w:rFonts w:eastAsia="Calibri" w:cs="Arial"/>
          <w:b/>
        </w:rPr>
        <w:t>djelomično provedeno 39,2 %</w:t>
      </w:r>
      <w:r w:rsidRPr="00726B01">
        <w:rPr>
          <w:rFonts w:eastAsia="Calibri" w:cs="Arial"/>
        </w:rPr>
        <w:t xml:space="preserve"> (9) danih naloga i preporuka.</w:t>
      </w:r>
    </w:p>
    <w:p w:rsidR="0015280E" w:rsidRDefault="0015280E" w:rsidP="0012295B">
      <w:pPr>
        <w:tabs>
          <w:tab w:val="left" w:pos="567"/>
          <w:tab w:val="left" w:pos="709"/>
          <w:tab w:val="left" w:pos="993"/>
        </w:tabs>
        <w:rPr>
          <w:rFonts w:cs="Arial"/>
          <w:b/>
        </w:rPr>
      </w:pPr>
    </w:p>
    <w:p w:rsidR="0015280E" w:rsidRDefault="0015280E" w:rsidP="0059415C">
      <w:pPr>
        <w:pBdr>
          <w:bottom w:val="single" w:sz="4" w:space="1" w:color="auto"/>
        </w:pBdr>
        <w:tabs>
          <w:tab w:val="left" w:pos="709"/>
          <w:tab w:val="left" w:pos="993"/>
        </w:tabs>
        <w:rPr>
          <w:rFonts w:cs="Arial"/>
          <w:b/>
        </w:rPr>
      </w:pPr>
    </w:p>
    <w:p w:rsidR="00B171FE" w:rsidRDefault="00C82712" w:rsidP="00A22E43">
      <w:pPr>
        <w:tabs>
          <w:tab w:val="left" w:pos="567"/>
        </w:tabs>
      </w:pPr>
      <w:r>
        <w:rPr>
          <w:b/>
        </w:rPr>
        <w:tab/>
      </w:r>
    </w:p>
    <w:p w:rsidR="00B171FE" w:rsidRDefault="00622F6F" w:rsidP="007643D7">
      <w:pPr>
        <w:tabs>
          <w:tab w:val="left" w:pos="567"/>
        </w:tabs>
      </w:pPr>
      <w:r>
        <w:t xml:space="preserve">Osoba za kontakt: </w:t>
      </w:r>
      <w:r w:rsidR="00B171FE">
        <w:t xml:space="preserve">Josipa Maraković, </w:t>
      </w:r>
      <w:r w:rsidR="007F2D68">
        <w:t>pomoćnica glavnoga državnog revizora</w:t>
      </w:r>
      <w:r w:rsidR="00B171FE">
        <w:t xml:space="preserve"> za odnose s javnošću, e-adresa: </w:t>
      </w:r>
      <w:hyperlink r:id="rId10" w:history="1">
        <w:r w:rsidR="00EC7A2F" w:rsidRPr="002704CC">
          <w:rPr>
            <w:rStyle w:val="Hiperveza"/>
          </w:rPr>
          <w:t>josipa.marakovic@revizija.hr</w:t>
        </w:r>
      </w:hyperlink>
      <w:r w:rsidR="00B171FE">
        <w:t xml:space="preserve">, tel.: 46 27 858, mob.: 095 </w:t>
      </w:r>
      <w:r w:rsidR="005D738F">
        <w:t>37</w:t>
      </w:r>
      <w:r w:rsidR="00B171FE">
        <w:t xml:space="preserve"> </w:t>
      </w:r>
      <w:r w:rsidR="005D738F">
        <w:t>59</w:t>
      </w:r>
      <w:r w:rsidR="00B171FE">
        <w:t xml:space="preserve"> </w:t>
      </w:r>
      <w:r w:rsidR="005D738F">
        <w:t>210</w:t>
      </w:r>
      <w:r w:rsidR="00B171FE">
        <w:t>.</w:t>
      </w:r>
    </w:p>
    <w:p w:rsidR="00B171FE" w:rsidRDefault="00B171FE" w:rsidP="00B171FE">
      <w:pPr>
        <w:jc w:val="left"/>
      </w:pPr>
    </w:p>
    <w:p w:rsidR="00B171FE" w:rsidRDefault="00B171FE" w:rsidP="00B171FE">
      <w:pPr>
        <w:jc w:val="left"/>
      </w:pPr>
    </w:p>
    <w:p w:rsidR="005D738F" w:rsidRDefault="00B171FE" w:rsidP="00B171FE">
      <w:r>
        <w:tab/>
      </w:r>
      <w:r w:rsidR="005D738F">
        <w:tab/>
      </w:r>
      <w:r w:rsidR="005D738F">
        <w:tab/>
      </w:r>
      <w:r w:rsidR="005D738F">
        <w:tab/>
      </w:r>
      <w:r w:rsidR="005D738F">
        <w:tab/>
        <w:t xml:space="preserve">POMOĆNICA GLAVNOGA DRŽAVNOG REVIZORA </w:t>
      </w:r>
    </w:p>
    <w:p w:rsidR="00B171FE" w:rsidRDefault="005D738F" w:rsidP="005D738F">
      <w:pPr>
        <w:ind w:left="3545" w:firstLine="709"/>
      </w:pPr>
      <w:r>
        <w:t xml:space="preserve">          </w:t>
      </w:r>
      <w:r w:rsidR="00B171FE">
        <w:t>ZA ODNOSE S JAVNOŠĆU</w:t>
      </w:r>
    </w:p>
    <w:p w:rsidR="00B171FE" w:rsidRDefault="00B171FE" w:rsidP="00B171FE">
      <w:r>
        <w:tab/>
      </w:r>
      <w:r>
        <w:tab/>
      </w:r>
      <w:r>
        <w:tab/>
      </w:r>
      <w:r>
        <w:tab/>
      </w:r>
      <w:r>
        <w:tab/>
      </w:r>
      <w:r>
        <w:tab/>
      </w:r>
      <w:r w:rsidR="00560B93">
        <w:t xml:space="preserve">  </w:t>
      </w:r>
    </w:p>
    <w:p w:rsidR="0015280E" w:rsidRDefault="00023F98" w:rsidP="00B171FE">
      <w:r>
        <w:tab/>
      </w:r>
      <w:r>
        <w:tab/>
      </w:r>
      <w:r>
        <w:tab/>
      </w:r>
      <w:r>
        <w:tab/>
      </w:r>
      <w:r>
        <w:tab/>
      </w:r>
      <w:r>
        <w:tab/>
      </w:r>
      <w:r w:rsidR="00CA1941">
        <w:t xml:space="preserve">  </w:t>
      </w:r>
      <w:r>
        <w:t xml:space="preserve"> </w:t>
      </w:r>
      <w:r w:rsidR="005D738F">
        <w:tab/>
      </w:r>
      <w:r w:rsidR="00CD48B6">
        <w:t xml:space="preserve">Josipa Maraković, dipl. </w:t>
      </w:r>
      <w:proofErr w:type="spellStart"/>
      <w:r w:rsidR="00CD48B6">
        <w:t>oec</w:t>
      </w:r>
      <w:proofErr w:type="spellEnd"/>
      <w:r w:rsidR="000864A3">
        <w:t>.</w:t>
      </w:r>
      <w:r>
        <w:t xml:space="preserve">, </w:t>
      </w:r>
    </w:p>
    <w:p w:rsidR="00D822EA" w:rsidRDefault="00292BF1" w:rsidP="00C60C63">
      <w:pPr>
        <w:ind w:left="4254"/>
      </w:pPr>
      <w:r>
        <w:t xml:space="preserve">     </w:t>
      </w:r>
      <w:r w:rsidR="00BF6688">
        <w:tab/>
        <w:t xml:space="preserve">   </w:t>
      </w:r>
      <w:bookmarkStart w:id="0" w:name="_GoBack"/>
      <w:bookmarkEnd w:id="0"/>
      <w:proofErr w:type="spellStart"/>
      <w:r w:rsidR="0015280E" w:rsidRPr="0015280E">
        <w:t>univ</w:t>
      </w:r>
      <w:proofErr w:type="spellEnd"/>
      <w:r w:rsidR="0015280E" w:rsidRPr="0015280E">
        <w:t xml:space="preserve">. </w:t>
      </w:r>
      <w:proofErr w:type="spellStart"/>
      <w:r w:rsidR="0015280E" w:rsidRPr="0015280E">
        <w:t>spec</w:t>
      </w:r>
      <w:proofErr w:type="spellEnd"/>
      <w:r w:rsidR="0015280E" w:rsidRPr="0015280E">
        <w:t xml:space="preserve">. </w:t>
      </w:r>
      <w:proofErr w:type="spellStart"/>
      <w:r w:rsidR="0015280E" w:rsidRPr="0015280E">
        <w:t>rel</w:t>
      </w:r>
      <w:proofErr w:type="spellEnd"/>
      <w:r w:rsidR="0015280E" w:rsidRPr="0015280E">
        <w:t xml:space="preserve">. </w:t>
      </w:r>
      <w:proofErr w:type="spellStart"/>
      <w:r w:rsidR="0015280E" w:rsidRPr="0015280E">
        <w:t>publ</w:t>
      </w:r>
      <w:proofErr w:type="spellEnd"/>
      <w:r w:rsidR="002B5D6A">
        <w:t>.</w:t>
      </w:r>
      <w:r w:rsidR="00BF6688">
        <w:t>, v. r.</w:t>
      </w:r>
    </w:p>
    <w:sectPr w:rsidR="00D822EA" w:rsidSect="00C267DE">
      <w:headerReference w:type="default" r:id="rId11"/>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DBE" w:rsidRDefault="00137DBE" w:rsidP="00952B63">
      <w:r>
        <w:separator/>
      </w:r>
    </w:p>
  </w:endnote>
  <w:endnote w:type="continuationSeparator" w:id="0">
    <w:p w:rsidR="00137DBE" w:rsidRDefault="00137DBE" w:rsidP="0095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DBE" w:rsidRDefault="00137DBE" w:rsidP="00952B63">
      <w:r>
        <w:separator/>
      </w:r>
    </w:p>
  </w:footnote>
  <w:footnote w:type="continuationSeparator" w:id="0">
    <w:p w:rsidR="00137DBE" w:rsidRDefault="00137DBE" w:rsidP="00952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434" w:rsidRDefault="00FE7434">
    <w:pPr>
      <w:pStyle w:val="Zaglavlje"/>
      <w:jc w:val="center"/>
    </w:pPr>
  </w:p>
  <w:p w:rsidR="00FE7434" w:rsidRDefault="00FE743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A76F3"/>
    <w:multiLevelType w:val="hybridMultilevel"/>
    <w:tmpl w:val="2D7681BA"/>
    <w:lvl w:ilvl="0" w:tplc="AB708D70">
      <w:start w:val="18"/>
      <w:numFmt w:val="bullet"/>
      <w:lvlText w:val="–"/>
      <w:lvlJc w:val="left"/>
      <w:pPr>
        <w:ind w:left="1287" w:hanging="360"/>
      </w:pPr>
      <w:rPr>
        <w:rFonts w:ascii="Times New Roman" w:eastAsia="Times New Roman" w:hAnsi="Times New Roman" w:cs="Times New Roman" w:hint="default"/>
        <w:b/>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 w15:restartNumberingAfterBreak="0">
    <w:nsid w:val="30515789"/>
    <w:multiLevelType w:val="hybridMultilevel"/>
    <w:tmpl w:val="E0AE2A94"/>
    <w:lvl w:ilvl="0" w:tplc="C6B218AC">
      <w:start w:val="1"/>
      <w:numFmt w:val="bullet"/>
      <w:pStyle w:val="StilBulletCrtica"/>
      <w:lvlText w:val=""/>
      <w:lvlJc w:val="left"/>
      <w:pPr>
        <w:ind w:left="927"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65A5A4F"/>
    <w:multiLevelType w:val="hybridMultilevel"/>
    <w:tmpl w:val="C0E6EF5A"/>
    <w:lvl w:ilvl="0" w:tplc="041A0001">
      <w:start w:val="1"/>
      <w:numFmt w:val="bullet"/>
      <w:lvlText w:val=""/>
      <w:lvlJc w:val="left"/>
      <w:pPr>
        <w:ind w:left="1856" w:hanging="360"/>
      </w:pPr>
      <w:rPr>
        <w:rFonts w:ascii="Symbol" w:hAnsi="Symbol" w:hint="default"/>
      </w:rPr>
    </w:lvl>
    <w:lvl w:ilvl="1" w:tplc="041A0003" w:tentative="1">
      <w:start w:val="1"/>
      <w:numFmt w:val="bullet"/>
      <w:lvlText w:val="o"/>
      <w:lvlJc w:val="left"/>
      <w:pPr>
        <w:ind w:left="2576" w:hanging="360"/>
      </w:pPr>
      <w:rPr>
        <w:rFonts w:ascii="Courier New" w:hAnsi="Courier New" w:cs="Courier New" w:hint="default"/>
      </w:rPr>
    </w:lvl>
    <w:lvl w:ilvl="2" w:tplc="041A0005" w:tentative="1">
      <w:start w:val="1"/>
      <w:numFmt w:val="bullet"/>
      <w:lvlText w:val=""/>
      <w:lvlJc w:val="left"/>
      <w:pPr>
        <w:ind w:left="3296" w:hanging="360"/>
      </w:pPr>
      <w:rPr>
        <w:rFonts w:ascii="Wingdings" w:hAnsi="Wingdings" w:hint="default"/>
      </w:rPr>
    </w:lvl>
    <w:lvl w:ilvl="3" w:tplc="041A0001" w:tentative="1">
      <w:start w:val="1"/>
      <w:numFmt w:val="bullet"/>
      <w:lvlText w:val=""/>
      <w:lvlJc w:val="left"/>
      <w:pPr>
        <w:ind w:left="4016" w:hanging="360"/>
      </w:pPr>
      <w:rPr>
        <w:rFonts w:ascii="Symbol" w:hAnsi="Symbol" w:hint="default"/>
      </w:rPr>
    </w:lvl>
    <w:lvl w:ilvl="4" w:tplc="041A0003" w:tentative="1">
      <w:start w:val="1"/>
      <w:numFmt w:val="bullet"/>
      <w:lvlText w:val="o"/>
      <w:lvlJc w:val="left"/>
      <w:pPr>
        <w:ind w:left="4736" w:hanging="360"/>
      </w:pPr>
      <w:rPr>
        <w:rFonts w:ascii="Courier New" w:hAnsi="Courier New" w:cs="Courier New" w:hint="default"/>
      </w:rPr>
    </w:lvl>
    <w:lvl w:ilvl="5" w:tplc="041A0005" w:tentative="1">
      <w:start w:val="1"/>
      <w:numFmt w:val="bullet"/>
      <w:lvlText w:val=""/>
      <w:lvlJc w:val="left"/>
      <w:pPr>
        <w:ind w:left="5456" w:hanging="360"/>
      </w:pPr>
      <w:rPr>
        <w:rFonts w:ascii="Wingdings" w:hAnsi="Wingdings" w:hint="default"/>
      </w:rPr>
    </w:lvl>
    <w:lvl w:ilvl="6" w:tplc="041A0001" w:tentative="1">
      <w:start w:val="1"/>
      <w:numFmt w:val="bullet"/>
      <w:lvlText w:val=""/>
      <w:lvlJc w:val="left"/>
      <w:pPr>
        <w:ind w:left="6176" w:hanging="360"/>
      </w:pPr>
      <w:rPr>
        <w:rFonts w:ascii="Symbol" w:hAnsi="Symbol" w:hint="default"/>
      </w:rPr>
    </w:lvl>
    <w:lvl w:ilvl="7" w:tplc="041A0003" w:tentative="1">
      <w:start w:val="1"/>
      <w:numFmt w:val="bullet"/>
      <w:lvlText w:val="o"/>
      <w:lvlJc w:val="left"/>
      <w:pPr>
        <w:ind w:left="6896" w:hanging="360"/>
      </w:pPr>
      <w:rPr>
        <w:rFonts w:ascii="Courier New" w:hAnsi="Courier New" w:cs="Courier New" w:hint="default"/>
      </w:rPr>
    </w:lvl>
    <w:lvl w:ilvl="8" w:tplc="041A0005" w:tentative="1">
      <w:start w:val="1"/>
      <w:numFmt w:val="bullet"/>
      <w:lvlText w:val=""/>
      <w:lvlJc w:val="left"/>
      <w:pPr>
        <w:ind w:left="7616" w:hanging="360"/>
      </w:pPr>
      <w:rPr>
        <w:rFonts w:ascii="Wingdings" w:hAnsi="Wingdings" w:hint="default"/>
      </w:rPr>
    </w:lvl>
  </w:abstractNum>
  <w:abstractNum w:abstractNumId="3" w15:restartNumberingAfterBreak="0">
    <w:nsid w:val="48761625"/>
    <w:multiLevelType w:val="hybridMultilevel"/>
    <w:tmpl w:val="CFBE6BB2"/>
    <w:lvl w:ilvl="0" w:tplc="71D461A0">
      <w:numFmt w:val="bullet"/>
      <w:lvlText w:val="–"/>
      <w:lvlJc w:val="left"/>
      <w:pPr>
        <w:ind w:left="1341" w:hanging="360"/>
      </w:pPr>
      <w:rPr>
        <w:rFonts w:ascii="Arial" w:eastAsia="Times New Roman" w:hAnsi="Arial" w:cs="Arial" w:hint="default"/>
      </w:rPr>
    </w:lvl>
    <w:lvl w:ilvl="1" w:tplc="041A0003">
      <w:start w:val="1"/>
      <w:numFmt w:val="bullet"/>
      <w:lvlText w:val="o"/>
      <w:lvlJc w:val="left"/>
      <w:pPr>
        <w:ind w:left="2061" w:hanging="360"/>
      </w:pPr>
      <w:rPr>
        <w:rFonts w:ascii="Courier New" w:hAnsi="Courier New" w:cs="Courier New" w:hint="default"/>
      </w:rPr>
    </w:lvl>
    <w:lvl w:ilvl="2" w:tplc="041A0005" w:tentative="1">
      <w:start w:val="1"/>
      <w:numFmt w:val="bullet"/>
      <w:lvlText w:val=""/>
      <w:lvlJc w:val="left"/>
      <w:pPr>
        <w:ind w:left="2781" w:hanging="360"/>
      </w:pPr>
      <w:rPr>
        <w:rFonts w:ascii="Wingdings" w:hAnsi="Wingdings" w:hint="default"/>
      </w:rPr>
    </w:lvl>
    <w:lvl w:ilvl="3" w:tplc="041A0001" w:tentative="1">
      <w:start w:val="1"/>
      <w:numFmt w:val="bullet"/>
      <w:lvlText w:val=""/>
      <w:lvlJc w:val="left"/>
      <w:pPr>
        <w:ind w:left="3501" w:hanging="360"/>
      </w:pPr>
      <w:rPr>
        <w:rFonts w:ascii="Symbol" w:hAnsi="Symbol" w:hint="default"/>
      </w:rPr>
    </w:lvl>
    <w:lvl w:ilvl="4" w:tplc="041A0003" w:tentative="1">
      <w:start w:val="1"/>
      <w:numFmt w:val="bullet"/>
      <w:lvlText w:val="o"/>
      <w:lvlJc w:val="left"/>
      <w:pPr>
        <w:ind w:left="4221" w:hanging="360"/>
      </w:pPr>
      <w:rPr>
        <w:rFonts w:ascii="Courier New" w:hAnsi="Courier New" w:cs="Courier New" w:hint="default"/>
      </w:rPr>
    </w:lvl>
    <w:lvl w:ilvl="5" w:tplc="041A0005" w:tentative="1">
      <w:start w:val="1"/>
      <w:numFmt w:val="bullet"/>
      <w:lvlText w:val=""/>
      <w:lvlJc w:val="left"/>
      <w:pPr>
        <w:ind w:left="4941" w:hanging="360"/>
      </w:pPr>
      <w:rPr>
        <w:rFonts w:ascii="Wingdings" w:hAnsi="Wingdings" w:hint="default"/>
      </w:rPr>
    </w:lvl>
    <w:lvl w:ilvl="6" w:tplc="041A0001" w:tentative="1">
      <w:start w:val="1"/>
      <w:numFmt w:val="bullet"/>
      <w:lvlText w:val=""/>
      <w:lvlJc w:val="left"/>
      <w:pPr>
        <w:ind w:left="5661" w:hanging="360"/>
      </w:pPr>
      <w:rPr>
        <w:rFonts w:ascii="Symbol" w:hAnsi="Symbol" w:hint="default"/>
      </w:rPr>
    </w:lvl>
    <w:lvl w:ilvl="7" w:tplc="041A0003" w:tentative="1">
      <w:start w:val="1"/>
      <w:numFmt w:val="bullet"/>
      <w:lvlText w:val="o"/>
      <w:lvlJc w:val="left"/>
      <w:pPr>
        <w:ind w:left="6381" w:hanging="360"/>
      </w:pPr>
      <w:rPr>
        <w:rFonts w:ascii="Courier New" w:hAnsi="Courier New" w:cs="Courier New" w:hint="default"/>
      </w:rPr>
    </w:lvl>
    <w:lvl w:ilvl="8" w:tplc="041A0005" w:tentative="1">
      <w:start w:val="1"/>
      <w:numFmt w:val="bullet"/>
      <w:lvlText w:val=""/>
      <w:lvlJc w:val="left"/>
      <w:pPr>
        <w:ind w:left="7101" w:hanging="360"/>
      </w:pPr>
      <w:rPr>
        <w:rFonts w:ascii="Wingdings" w:hAnsi="Wingdings" w:hint="default"/>
      </w:rPr>
    </w:lvl>
  </w:abstractNum>
  <w:abstractNum w:abstractNumId="4" w15:restartNumberingAfterBreak="0">
    <w:nsid w:val="69896CEF"/>
    <w:multiLevelType w:val="hybridMultilevel"/>
    <w:tmpl w:val="335CA6DA"/>
    <w:lvl w:ilvl="0" w:tplc="041A0001">
      <w:start w:val="2"/>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8047E72"/>
    <w:multiLevelType w:val="hybridMultilevel"/>
    <w:tmpl w:val="96ACCACA"/>
    <w:lvl w:ilvl="0" w:tplc="96247F1A">
      <w:start w:val="2"/>
      <w:numFmt w:val="bullet"/>
      <w:lvlText w:val="–"/>
      <w:lvlJc w:val="left"/>
      <w:pPr>
        <w:ind w:left="2412" w:hanging="360"/>
      </w:pPr>
      <w:rPr>
        <w:rFonts w:ascii="Arial" w:eastAsia="Times New Roman" w:hAnsi="Arial" w:cs="Arial" w:hint="default"/>
      </w:rPr>
    </w:lvl>
    <w:lvl w:ilvl="1" w:tplc="041A0003">
      <w:start w:val="1"/>
      <w:numFmt w:val="bullet"/>
      <w:lvlText w:val="o"/>
      <w:lvlJc w:val="left"/>
      <w:pPr>
        <w:ind w:left="3132" w:hanging="360"/>
      </w:pPr>
      <w:rPr>
        <w:rFonts w:ascii="Courier New" w:hAnsi="Courier New" w:cs="Courier New" w:hint="default"/>
      </w:rPr>
    </w:lvl>
    <w:lvl w:ilvl="2" w:tplc="041A0005" w:tentative="1">
      <w:start w:val="1"/>
      <w:numFmt w:val="bullet"/>
      <w:lvlText w:val=""/>
      <w:lvlJc w:val="left"/>
      <w:pPr>
        <w:ind w:left="3852" w:hanging="360"/>
      </w:pPr>
      <w:rPr>
        <w:rFonts w:ascii="Wingdings" w:hAnsi="Wingdings" w:hint="default"/>
      </w:rPr>
    </w:lvl>
    <w:lvl w:ilvl="3" w:tplc="041A0001" w:tentative="1">
      <w:start w:val="1"/>
      <w:numFmt w:val="bullet"/>
      <w:lvlText w:val=""/>
      <w:lvlJc w:val="left"/>
      <w:pPr>
        <w:ind w:left="4572" w:hanging="360"/>
      </w:pPr>
      <w:rPr>
        <w:rFonts w:ascii="Symbol" w:hAnsi="Symbol" w:hint="default"/>
      </w:rPr>
    </w:lvl>
    <w:lvl w:ilvl="4" w:tplc="041A0003" w:tentative="1">
      <w:start w:val="1"/>
      <w:numFmt w:val="bullet"/>
      <w:lvlText w:val="o"/>
      <w:lvlJc w:val="left"/>
      <w:pPr>
        <w:ind w:left="5292" w:hanging="360"/>
      </w:pPr>
      <w:rPr>
        <w:rFonts w:ascii="Courier New" w:hAnsi="Courier New" w:cs="Courier New" w:hint="default"/>
      </w:rPr>
    </w:lvl>
    <w:lvl w:ilvl="5" w:tplc="041A0005" w:tentative="1">
      <w:start w:val="1"/>
      <w:numFmt w:val="bullet"/>
      <w:lvlText w:val=""/>
      <w:lvlJc w:val="left"/>
      <w:pPr>
        <w:ind w:left="6012" w:hanging="360"/>
      </w:pPr>
      <w:rPr>
        <w:rFonts w:ascii="Wingdings" w:hAnsi="Wingdings" w:hint="default"/>
      </w:rPr>
    </w:lvl>
    <w:lvl w:ilvl="6" w:tplc="041A0001" w:tentative="1">
      <w:start w:val="1"/>
      <w:numFmt w:val="bullet"/>
      <w:lvlText w:val=""/>
      <w:lvlJc w:val="left"/>
      <w:pPr>
        <w:ind w:left="6732" w:hanging="360"/>
      </w:pPr>
      <w:rPr>
        <w:rFonts w:ascii="Symbol" w:hAnsi="Symbol" w:hint="default"/>
      </w:rPr>
    </w:lvl>
    <w:lvl w:ilvl="7" w:tplc="041A0003" w:tentative="1">
      <w:start w:val="1"/>
      <w:numFmt w:val="bullet"/>
      <w:lvlText w:val="o"/>
      <w:lvlJc w:val="left"/>
      <w:pPr>
        <w:ind w:left="7452" w:hanging="360"/>
      </w:pPr>
      <w:rPr>
        <w:rFonts w:ascii="Courier New" w:hAnsi="Courier New" w:cs="Courier New" w:hint="default"/>
      </w:rPr>
    </w:lvl>
    <w:lvl w:ilvl="8" w:tplc="041A0005" w:tentative="1">
      <w:start w:val="1"/>
      <w:numFmt w:val="bullet"/>
      <w:lvlText w:val=""/>
      <w:lvlJc w:val="left"/>
      <w:pPr>
        <w:ind w:left="8172" w:hanging="360"/>
      </w:pPr>
      <w:rPr>
        <w:rFonts w:ascii="Wingdings" w:hAnsi="Wingdings" w:hint="default"/>
      </w:rPr>
    </w:lvl>
  </w:abstractNum>
  <w:num w:numId="1">
    <w:abstractNumId w:val="1"/>
  </w:num>
  <w:num w:numId="2">
    <w:abstractNumId w:val="5"/>
  </w:num>
  <w:num w:numId="3">
    <w:abstractNumId w:val="0"/>
  </w:num>
  <w:num w:numId="4">
    <w:abstractNumId w:val="1"/>
  </w:num>
  <w:num w:numId="5">
    <w:abstractNumId w:val="4"/>
  </w:num>
  <w:num w:numId="6">
    <w:abstractNumId w:val="3"/>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0B"/>
    <w:rsid w:val="00002539"/>
    <w:rsid w:val="00002793"/>
    <w:rsid w:val="000057C9"/>
    <w:rsid w:val="000063EC"/>
    <w:rsid w:val="0000736A"/>
    <w:rsid w:val="000141BC"/>
    <w:rsid w:val="00015C39"/>
    <w:rsid w:val="00016129"/>
    <w:rsid w:val="00016883"/>
    <w:rsid w:val="00023F98"/>
    <w:rsid w:val="000242F6"/>
    <w:rsid w:val="00024A61"/>
    <w:rsid w:val="000250F8"/>
    <w:rsid w:val="00027B08"/>
    <w:rsid w:val="0003040A"/>
    <w:rsid w:val="0003398F"/>
    <w:rsid w:val="00043311"/>
    <w:rsid w:val="00044757"/>
    <w:rsid w:val="00044C61"/>
    <w:rsid w:val="00046F77"/>
    <w:rsid w:val="000516E0"/>
    <w:rsid w:val="000567E0"/>
    <w:rsid w:val="00060DDE"/>
    <w:rsid w:val="00065ED1"/>
    <w:rsid w:val="00070056"/>
    <w:rsid w:val="00070FF6"/>
    <w:rsid w:val="00076164"/>
    <w:rsid w:val="000775DE"/>
    <w:rsid w:val="0008114F"/>
    <w:rsid w:val="00084327"/>
    <w:rsid w:val="0008465D"/>
    <w:rsid w:val="00084C71"/>
    <w:rsid w:val="00084FA5"/>
    <w:rsid w:val="00085208"/>
    <w:rsid w:val="000864A3"/>
    <w:rsid w:val="00094103"/>
    <w:rsid w:val="00096B45"/>
    <w:rsid w:val="00097A27"/>
    <w:rsid w:val="000A29AD"/>
    <w:rsid w:val="000A3159"/>
    <w:rsid w:val="000A3FB4"/>
    <w:rsid w:val="000B33B3"/>
    <w:rsid w:val="000B518D"/>
    <w:rsid w:val="000B773D"/>
    <w:rsid w:val="000B7B7D"/>
    <w:rsid w:val="000C15A6"/>
    <w:rsid w:val="000C20C9"/>
    <w:rsid w:val="000D0643"/>
    <w:rsid w:val="000D06C9"/>
    <w:rsid w:val="000D0AD3"/>
    <w:rsid w:val="000D3A51"/>
    <w:rsid w:val="000E0B66"/>
    <w:rsid w:val="000E1845"/>
    <w:rsid w:val="000E1953"/>
    <w:rsid w:val="000F3004"/>
    <w:rsid w:val="000F44D6"/>
    <w:rsid w:val="000F4DA3"/>
    <w:rsid w:val="000F5923"/>
    <w:rsid w:val="000F6092"/>
    <w:rsid w:val="000F645E"/>
    <w:rsid w:val="000F6943"/>
    <w:rsid w:val="0010006C"/>
    <w:rsid w:val="00101082"/>
    <w:rsid w:val="00103772"/>
    <w:rsid w:val="001103B2"/>
    <w:rsid w:val="00110ED2"/>
    <w:rsid w:val="00114105"/>
    <w:rsid w:val="0011690A"/>
    <w:rsid w:val="0012295B"/>
    <w:rsid w:val="001229AE"/>
    <w:rsid w:val="00122A9A"/>
    <w:rsid w:val="00125007"/>
    <w:rsid w:val="001262C4"/>
    <w:rsid w:val="001328A7"/>
    <w:rsid w:val="001366D9"/>
    <w:rsid w:val="00136C10"/>
    <w:rsid w:val="00137CDA"/>
    <w:rsid w:val="00137DBE"/>
    <w:rsid w:val="00142499"/>
    <w:rsid w:val="00142787"/>
    <w:rsid w:val="0014590C"/>
    <w:rsid w:val="001505B6"/>
    <w:rsid w:val="0015107E"/>
    <w:rsid w:val="00151560"/>
    <w:rsid w:val="0015280E"/>
    <w:rsid w:val="00157A8E"/>
    <w:rsid w:val="00160D33"/>
    <w:rsid w:val="00160DE1"/>
    <w:rsid w:val="00161030"/>
    <w:rsid w:val="0016108A"/>
    <w:rsid w:val="00162256"/>
    <w:rsid w:val="001644F1"/>
    <w:rsid w:val="00166055"/>
    <w:rsid w:val="0016688D"/>
    <w:rsid w:val="001715AE"/>
    <w:rsid w:val="00173AC3"/>
    <w:rsid w:val="001775EC"/>
    <w:rsid w:val="00180919"/>
    <w:rsid w:val="0018148C"/>
    <w:rsid w:val="0018296D"/>
    <w:rsid w:val="00183A86"/>
    <w:rsid w:val="001848E2"/>
    <w:rsid w:val="0018760D"/>
    <w:rsid w:val="00194E75"/>
    <w:rsid w:val="001960AF"/>
    <w:rsid w:val="0019637E"/>
    <w:rsid w:val="001A5868"/>
    <w:rsid w:val="001B03BB"/>
    <w:rsid w:val="001B0DD7"/>
    <w:rsid w:val="001B46C7"/>
    <w:rsid w:val="001B6D17"/>
    <w:rsid w:val="001B7037"/>
    <w:rsid w:val="001C1EA4"/>
    <w:rsid w:val="001C2236"/>
    <w:rsid w:val="001C2CDA"/>
    <w:rsid w:val="001C5412"/>
    <w:rsid w:val="001C67A2"/>
    <w:rsid w:val="001C7498"/>
    <w:rsid w:val="001D3ACF"/>
    <w:rsid w:val="001D4F29"/>
    <w:rsid w:val="001D5B8A"/>
    <w:rsid w:val="001E0ED4"/>
    <w:rsid w:val="001E155D"/>
    <w:rsid w:val="001E277F"/>
    <w:rsid w:val="001F0F8D"/>
    <w:rsid w:val="002015F5"/>
    <w:rsid w:val="00202CC3"/>
    <w:rsid w:val="00203347"/>
    <w:rsid w:val="00204F02"/>
    <w:rsid w:val="00206C7C"/>
    <w:rsid w:val="002101C4"/>
    <w:rsid w:val="002126EC"/>
    <w:rsid w:val="00212DCB"/>
    <w:rsid w:val="002130D4"/>
    <w:rsid w:val="002243CA"/>
    <w:rsid w:val="0022496C"/>
    <w:rsid w:val="00226C3B"/>
    <w:rsid w:val="00226F35"/>
    <w:rsid w:val="00232A3E"/>
    <w:rsid w:val="0023340B"/>
    <w:rsid w:val="00234BF7"/>
    <w:rsid w:val="0024058F"/>
    <w:rsid w:val="0024379A"/>
    <w:rsid w:val="00245918"/>
    <w:rsid w:val="00246E11"/>
    <w:rsid w:val="00247461"/>
    <w:rsid w:val="002505E7"/>
    <w:rsid w:val="0025298B"/>
    <w:rsid w:val="002601FA"/>
    <w:rsid w:val="00262363"/>
    <w:rsid w:val="00262D3F"/>
    <w:rsid w:val="00263A41"/>
    <w:rsid w:val="00264769"/>
    <w:rsid w:val="0026684B"/>
    <w:rsid w:val="00271585"/>
    <w:rsid w:val="002722F7"/>
    <w:rsid w:val="00274AF7"/>
    <w:rsid w:val="00280698"/>
    <w:rsid w:val="002823D2"/>
    <w:rsid w:val="0028347D"/>
    <w:rsid w:val="00286B0E"/>
    <w:rsid w:val="00287725"/>
    <w:rsid w:val="00287DEF"/>
    <w:rsid w:val="00290162"/>
    <w:rsid w:val="00291DCC"/>
    <w:rsid w:val="00292BF1"/>
    <w:rsid w:val="0029606A"/>
    <w:rsid w:val="00296C72"/>
    <w:rsid w:val="00297FF4"/>
    <w:rsid w:val="002A375B"/>
    <w:rsid w:val="002A7B80"/>
    <w:rsid w:val="002B40BE"/>
    <w:rsid w:val="002B5D6A"/>
    <w:rsid w:val="002B74F3"/>
    <w:rsid w:val="002C316E"/>
    <w:rsid w:val="002C34E9"/>
    <w:rsid w:val="002C3F6E"/>
    <w:rsid w:val="002C4C65"/>
    <w:rsid w:val="002C6F01"/>
    <w:rsid w:val="002C7A7F"/>
    <w:rsid w:val="002D0598"/>
    <w:rsid w:val="002D5D76"/>
    <w:rsid w:val="002D63C6"/>
    <w:rsid w:val="002E52A8"/>
    <w:rsid w:val="002E5406"/>
    <w:rsid w:val="002E6A0F"/>
    <w:rsid w:val="002E6DA4"/>
    <w:rsid w:val="002F05B9"/>
    <w:rsid w:val="002F0635"/>
    <w:rsid w:val="002F06BB"/>
    <w:rsid w:val="002F3BB7"/>
    <w:rsid w:val="002F5456"/>
    <w:rsid w:val="00303B06"/>
    <w:rsid w:val="003049ED"/>
    <w:rsid w:val="00304B64"/>
    <w:rsid w:val="0030514A"/>
    <w:rsid w:val="00305F14"/>
    <w:rsid w:val="0030639B"/>
    <w:rsid w:val="0030749A"/>
    <w:rsid w:val="00310DC0"/>
    <w:rsid w:val="00311ED9"/>
    <w:rsid w:val="00315480"/>
    <w:rsid w:val="00316237"/>
    <w:rsid w:val="003205DC"/>
    <w:rsid w:val="003208B6"/>
    <w:rsid w:val="00320F90"/>
    <w:rsid w:val="00321555"/>
    <w:rsid w:val="00324D33"/>
    <w:rsid w:val="00326DD7"/>
    <w:rsid w:val="00327E16"/>
    <w:rsid w:val="00334BB3"/>
    <w:rsid w:val="00341EB6"/>
    <w:rsid w:val="00345BD8"/>
    <w:rsid w:val="00351203"/>
    <w:rsid w:val="00361A2D"/>
    <w:rsid w:val="00362A16"/>
    <w:rsid w:val="003679D5"/>
    <w:rsid w:val="00367AA5"/>
    <w:rsid w:val="003705E1"/>
    <w:rsid w:val="0037126B"/>
    <w:rsid w:val="00372485"/>
    <w:rsid w:val="0037498F"/>
    <w:rsid w:val="00377D20"/>
    <w:rsid w:val="00377D96"/>
    <w:rsid w:val="003800B6"/>
    <w:rsid w:val="00382109"/>
    <w:rsid w:val="00382E6E"/>
    <w:rsid w:val="003854BB"/>
    <w:rsid w:val="00386DB0"/>
    <w:rsid w:val="00387844"/>
    <w:rsid w:val="00387C57"/>
    <w:rsid w:val="0039002F"/>
    <w:rsid w:val="003923A4"/>
    <w:rsid w:val="0039583F"/>
    <w:rsid w:val="003975C0"/>
    <w:rsid w:val="003A1289"/>
    <w:rsid w:val="003A1931"/>
    <w:rsid w:val="003A6CF2"/>
    <w:rsid w:val="003B4E3F"/>
    <w:rsid w:val="003B6F49"/>
    <w:rsid w:val="003C190C"/>
    <w:rsid w:val="003C1D32"/>
    <w:rsid w:val="003C3D06"/>
    <w:rsid w:val="003C4012"/>
    <w:rsid w:val="003C4E95"/>
    <w:rsid w:val="003C7DE0"/>
    <w:rsid w:val="003D469D"/>
    <w:rsid w:val="003E0B3D"/>
    <w:rsid w:val="003E259E"/>
    <w:rsid w:val="003E2E9C"/>
    <w:rsid w:val="003E3EDC"/>
    <w:rsid w:val="003E527C"/>
    <w:rsid w:val="003E5D1C"/>
    <w:rsid w:val="003E7EA4"/>
    <w:rsid w:val="003F26E9"/>
    <w:rsid w:val="003F5367"/>
    <w:rsid w:val="003F5640"/>
    <w:rsid w:val="004028F8"/>
    <w:rsid w:val="0040732D"/>
    <w:rsid w:val="0040786C"/>
    <w:rsid w:val="00411CAB"/>
    <w:rsid w:val="0041315C"/>
    <w:rsid w:val="0041328B"/>
    <w:rsid w:val="00421D28"/>
    <w:rsid w:val="00421E66"/>
    <w:rsid w:val="004229B4"/>
    <w:rsid w:val="00422D19"/>
    <w:rsid w:val="00423EBC"/>
    <w:rsid w:val="00425B82"/>
    <w:rsid w:val="0042683A"/>
    <w:rsid w:val="00426CCE"/>
    <w:rsid w:val="0043069A"/>
    <w:rsid w:val="00430DF3"/>
    <w:rsid w:val="004310FA"/>
    <w:rsid w:val="004313FB"/>
    <w:rsid w:val="00431E53"/>
    <w:rsid w:val="0043276B"/>
    <w:rsid w:val="00432777"/>
    <w:rsid w:val="00433A68"/>
    <w:rsid w:val="004350DA"/>
    <w:rsid w:val="004367C9"/>
    <w:rsid w:val="004425FA"/>
    <w:rsid w:val="0044464E"/>
    <w:rsid w:val="00444A5A"/>
    <w:rsid w:val="00444F7A"/>
    <w:rsid w:val="004461BD"/>
    <w:rsid w:val="00447D7B"/>
    <w:rsid w:val="00450957"/>
    <w:rsid w:val="00450AE6"/>
    <w:rsid w:val="0045163E"/>
    <w:rsid w:val="00457AF2"/>
    <w:rsid w:val="00457EB3"/>
    <w:rsid w:val="0046036A"/>
    <w:rsid w:val="00463408"/>
    <w:rsid w:val="004639B8"/>
    <w:rsid w:val="00463D0B"/>
    <w:rsid w:val="00471917"/>
    <w:rsid w:val="00474161"/>
    <w:rsid w:val="0047567F"/>
    <w:rsid w:val="00483947"/>
    <w:rsid w:val="00486718"/>
    <w:rsid w:val="00496568"/>
    <w:rsid w:val="004967E3"/>
    <w:rsid w:val="004A313D"/>
    <w:rsid w:val="004A4504"/>
    <w:rsid w:val="004A452E"/>
    <w:rsid w:val="004A54F2"/>
    <w:rsid w:val="004A6D85"/>
    <w:rsid w:val="004B15A2"/>
    <w:rsid w:val="004B233F"/>
    <w:rsid w:val="004B26CD"/>
    <w:rsid w:val="004B3644"/>
    <w:rsid w:val="004B3B01"/>
    <w:rsid w:val="004B470D"/>
    <w:rsid w:val="004B47E2"/>
    <w:rsid w:val="004B687A"/>
    <w:rsid w:val="004B6C6B"/>
    <w:rsid w:val="004C2BA4"/>
    <w:rsid w:val="004C4161"/>
    <w:rsid w:val="004C6299"/>
    <w:rsid w:val="004C62A8"/>
    <w:rsid w:val="004C6B46"/>
    <w:rsid w:val="004D1A26"/>
    <w:rsid w:val="004D24EA"/>
    <w:rsid w:val="004D2D5D"/>
    <w:rsid w:val="004D405C"/>
    <w:rsid w:val="004D487A"/>
    <w:rsid w:val="004D6792"/>
    <w:rsid w:val="004D785D"/>
    <w:rsid w:val="004E2192"/>
    <w:rsid w:val="004E432D"/>
    <w:rsid w:val="004E4DD1"/>
    <w:rsid w:val="004E51ED"/>
    <w:rsid w:val="004E6097"/>
    <w:rsid w:val="004E7E5C"/>
    <w:rsid w:val="004F0024"/>
    <w:rsid w:val="004F0B8A"/>
    <w:rsid w:val="004F0C09"/>
    <w:rsid w:val="004F1C5E"/>
    <w:rsid w:val="004F39CC"/>
    <w:rsid w:val="004F405D"/>
    <w:rsid w:val="004F4416"/>
    <w:rsid w:val="004F5883"/>
    <w:rsid w:val="00505485"/>
    <w:rsid w:val="0051035F"/>
    <w:rsid w:val="00513D99"/>
    <w:rsid w:val="00522FF4"/>
    <w:rsid w:val="0052309C"/>
    <w:rsid w:val="005235D2"/>
    <w:rsid w:val="00524549"/>
    <w:rsid w:val="00526E8F"/>
    <w:rsid w:val="00527B97"/>
    <w:rsid w:val="00530F57"/>
    <w:rsid w:val="005314A3"/>
    <w:rsid w:val="00533CFF"/>
    <w:rsid w:val="00534C42"/>
    <w:rsid w:val="00536163"/>
    <w:rsid w:val="00543798"/>
    <w:rsid w:val="00547AA1"/>
    <w:rsid w:val="005521BA"/>
    <w:rsid w:val="005522E6"/>
    <w:rsid w:val="00557026"/>
    <w:rsid w:val="00560B93"/>
    <w:rsid w:val="00562AC1"/>
    <w:rsid w:val="00567567"/>
    <w:rsid w:val="0057018B"/>
    <w:rsid w:val="00572A01"/>
    <w:rsid w:val="00573D97"/>
    <w:rsid w:val="00573E27"/>
    <w:rsid w:val="005743DD"/>
    <w:rsid w:val="00575834"/>
    <w:rsid w:val="0058355E"/>
    <w:rsid w:val="0058449E"/>
    <w:rsid w:val="00584E43"/>
    <w:rsid w:val="00585DAC"/>
    <w:rsid w:val="00590779"/>
    <w:rsid w:val="00591897"/>
    <w:rsid w:val="0059415C"/>
    <w:rsid w:val="00594CD9"/>
    <w:rsid w:val="005A1E4B"/>
    <w:rsid w:val="005A514F"/>
    <w:rsid w:val="005A6B6B"/>
    <w:rsid w:val="005B0D80"/>
    <w:rsid w:val="005B339A"/>
    <w:rsid w:val="005B4C81"/>
    <w:rsid w:val="005B5241"/>
    <w:rsid w:val="005B6DAE"/>
    <w:rsid w:val="005C08C7"/>
    <w:rsid w:val="005C1F78"/>
    <w:rsid w:val="005C2626"/>
    <w:rsid w:val="005C4BD6"/>
    <w:rsid w:val="005C4E43"/>
    <w:rsid w:val="005C5B96"/>
    <w:rsid w:val="005C6150"/>
    <w:rsid w:val="005C6994"/>
    <w:rsid w:val="005C704E"/>
    <w:rsid w:val="005D24E3"/>
    <w:rsid w:val="005D26B4"/>
    <w:rsid w:val="005D2A48"/>
    <w:rsid w:val="005D398E"/>
    <w:rsid w:val="005D72B4"/>
    <w:rsid w:val="005D738F"/>
    <w:rsid w:val="005E064F"/>
    <w:rsid w:val="005E2C72"/>
    <w:rsid w:val="005E3602"/>
    <w:rsid w:val="005E4C07"/>
    <w:rsid w:val="005E4C52"/>
    <w:rsid w:val="005E5681"/>
    <w:rsid w:val="005E579E"/>
    <w:rsid w:val="005F028A"/>
    <w:rsid w:val="005F0E8E"/>
    <w:rsid w:val="005F1449"/>
    <w:rsid w:val="005F3769"/>
    <w:rsid w:val="005F45C8"/>
    <w:rsid w:val="00600A72"/>
    <w:rsid w:val="00602E68"/>
    <w:rsid w:val="00610D59"/>
    <w:rsid w:val="006111E9"/>
    <w:rsid w:val="00611BAD"/>
    <w:rsid w:val="006128F8"/>
    <w:rsid w:val="00616C76"/>
    <w:rsid w:val="00617580"/>
    <w:rsid w:val="00617765"/>
    <w:rsid w:val="00617F65"/>
    <w:rsid w:val="00622F6F"/>
    <w:rsid w:val="006262BD"/>
    <w:rsid w:val="0062635B"/>
    <w:rsid w:val="00630053"/>
    <w:rsid w:val="00630086"/>
    <w:rsid w:val="006302D5"/>
    <w:rsid w:val="00630B21"/>
    <w:rsid w:val="0063131B"/>
    <w:rsid w:val="006350CB"/>
    <w:rsid w:val="00635581"/>
    <w:rsid w:val="00635CB1"/>
    <w:rsid w:val="00647A25"/>
    <w:rsid w:val="00650A70"/>
    <w:rsid w:val="0065129A"/>
    <w:rsid w:val="006515F6"/>
    <w:rsid w:val="0065281E"/>
    <w:rsid w:val="00655ED4"/>
    <w:rsid w:val="006577AD"/>
    <w:rsid w:val="0066006A"/>
    <w:rsid w:val="00662A84"/>
    <w:rsid w:val="00663773"/>
    <w:rsid w:val="00664152"/>
    <w:rsid w:val="0066683A"/>
    <w:rsid w:val="006705F9"/>
    <w:rsid w:val="00672D99"/>
    <w:rsid w:val="00673F53"/>
    <w:rsid w:val="00677179"/>
    <w:rsid w:val="00684DE4"/>
    <w:rsid w:val="006855E8"/>
    <w:rsid w:val="0068565F"/>
    <w:rsid w:val="006857E1"/>
    <w:rsid w:val="0068658D"/>
    <w:rsid w:val="00686949"/>
    <w:rsid w:val="00693029"/>
    <w:rsid w:val="0069369C"/>
    <w:rsid w:val="006A66E5"/>
    <w:rsid w:val="006B0BB3"/>
    <w:rsid w:val="006B161E"/>
    <w:rsid w:val="006B242F"/>
    <w:rsid w:val="006B4106"/>
    <w:rsid w:val="006B4EB7"/>
    <w:rsid w:val="006B64B0"/>
    <w:rsid w:val="006B6863"/>
    <w:rsid w:val="006B7C3D"/>
    <w:rsid w:val="006C1BD8"/>
    <w:rsid w:val="006C27ED"/>
    <w:rsid w:val="006C7824"/>
    <w:rsid w:val="006D1787"/>
    <w:rsid w:val="006D1FF8"/>
    <w:rsid w:val="006D2CA5"/>
    <w:rsid w:val="006D4315"/>
    <w:rsid w:val="006D4859"/>
    <w:rsid w:val="006D5309"/>
    <w:rsid w:val="006E2EB5"/>
    <w:rsid w:val="006E3009"/>
    <w:rsid w:val="006E4D92"/>
    <w:rsid w:val="006E51AC"/>
    <w:rsid w:val="006E5C4D"/>
    <w:rsid w:val="006F1EC7"/>
    <w:rsid w:val="006F4C1D"/>
    <w:rsid w:val="006F60AD"/>
    <w:rsid w:val="006F6AA3"/>
    <w:rsid w:val="0070433A"/>
    <w:rsid w:val="00704B36"/>
    <w:rsid w:val="0070526F"/>
    <w:rsid w:val="00714153"/>
    <w:rsid w:val="007145AC"/>
    <w:rsid w:val="00715E40"/>
    <w:rsid w:val="0072074E"/>
    <w:rsid w:val="00724795"/>
    <w:rsid w:val="00727A01"/>
    <w:rsid w:val="007305A9"/>
    <w:rsid w:val="0073104E"/>
    <w:rsid w:val="007315CA"/>
    <w:rsid w:val="00733F2C"/>
    <w:rsid w:val="00734C1B"/>
    <w:rsid w:val="00735723"/>
    <w:rsid w:val="00735990"/>
    <w:rsid w:val="007422F7"/>
    <w:rsid w:val="00745232"/>
    <w:rsid w:val="00745F83"/>
    <w:rsid w:val="007467E2"/>
    <w:rsid w:val="00754AF5"/>
    <w:rsid w:val="00757E1E"/>
    <w:rsid w:val="00761E81"/>
    <w:rsid w:val="007624A0"/>
    <w:rsid w:val="00762DD9"/>
    <w:rsid w:val="007643D7"/>
    <w:rsid w:val="00766FD0"/>
    <w:rsid w:val="00770DFE"/>
    <w:rsid w:val="007732A6"/>
    <w:rsid w:val="007737CB"/>
    <w:rsid w:val="00777E85"/>
    <w:rsid w:val="00782C62"/>
    <w:rsid w:val="00787D52"/>
    <w:rsid w:val="00791DDA"/>
    <w:rsid w:val="007938D2"/>
    <w:rsid w:val="0079450C"/>
    <w:rsid w:val="00794D8D"/>
    <w:rsid w:val="007968FC"/>
    <w:rsid w:val="007A0D71"/>
    <w:rsid w:val="007A1413"/>
    <w:rsid w:val="007A19F0"/>
    <w:rsid w:val="007A5B5D"/>
    <w:rsid w:val="007B3AA9"/>
    <w:rsid w:val="007B3C14"/>
    <w:rsid w:val="007B414D"/>
    <w:rsid w:val="007B6BDB"/>
    <w:rsid w:val="007C021D"/>
    <w:rsid w:val="007C685E"/>
    <w:rsid w:val="007D4E06"/>
    <w:rsid w:val="007D57AC"/>
    <w:rsid w:val="007D60EF"/>
    <w:rsid w:val="007D6A44"/>
    <w:rsid w:val="007D6E44"/>
    <w:rsid w:val="007D6F1A"/>
    <w:rsid w:val="007E1891"/>
    <w:rsid w:val="007E1DBD"/>
    <w:rsid w:val="007E21F4"/>
    <w:rsid w:val="007E2393"/>
    <w:rsid w:val="007E3D2A"/>
    <w:rsid w:val="007E481F"/>
    <w:rsid w:val="007E52C5"/>
    <w:rsid w:val="007E5A53"/>
    <w:rsid w:val="007F0105"/>
    <w:rsid w:val="007F099B"/>
    <w:rsid w:val="007F1A1D"/>
    <w:rsid w:val="007F2D68"/>
    <w:rsid w:val="007F4CA3"/>
    <w:rsid w:val="007F6571"/>
    <w:rsid w:val="00800A2B"/>
    <w:rsid w:val="00803265"/>
    <w:rsid w:val="008059D8"/>
    <w:rsid w:val="00807334"/>
    <w:rsid w:val="008118B7"/>
    <w:rsid w:val="0081290E"/>
    <w:rsid w:val="008220FA"/>
    <w:rsid w:val="008224F7"/>
    <w:rsid w:val="00822B57"/>
    <w:rsid w:val="0083313C"/>
    <w:rsid w:val="00833D90"/>
    <w:rsid w:val="00837140"/>
    <w:rsid w:val="00837D44"/>
    <w:rsid w:val="00840024"/>
    <w:rsid w:val="008412FF"/>
    <w:rsid w:val="00842AA3"/>
    <w:rsid w:val="008449C2"/>
    <w:rsid w:val="008454AE"/>
    <w:rsid w:val="00845B83"/>
    <w:rsid w:val="008515A4"/>
    <w:rsid w:val="00852A1E"/>
    <w:rsid w:val="00853781"/>
    <w:rsid w:val="008548B8"/>
    <w:rsid w:val="00854E57"/>
    <w:rsid w:val="0086005B"/>
    <w:rsid w:val="00860984"/>
    <w:rsid w:val="00862B16"/>
    <w:rsid w:val="00871F13"/>
    <w:rsid w:val="008723FA"/>
    <w:rsid w:val="00873BAA"/>
    <w:rsid w:val="008748A5"/>
    <w:rsid w:val="00883C61"/>
    <w:rsid w:val="0088521B"/>
    <w:rsid w:val="0088548E"/>
    <w:rsid w:val="00891A8F"/>
    <w:rsid w:val="00892872"/>
    <w:rsid w:val="00892B37"/>
    <w:rsid w:val="00893732"/>
    <w:rsid w:val="00894B34"/>
    <w:rsid w:val="00894F31"/>
    <w:rsid w:val="0089612B"/>
    <w:rsid w:val="008A03FD"/>
    <w:rsid w:val="008A06A5"/>
    <w:rsid w:val="008A5936"/>
    <w:rsid w:val="008B0971"/>
    <w:rsid w:val="008B502E"/>
    <w:rsid w:val="008C0156"/>
    <w:rsid w:val="008C1850"/>
    <w:rsid w:val="008C1C06"/>
    <w:rsid w:val="008C3BED"/>
    <w:rsid w:val="008C53BB"/>
    <w:rsid w:val="008C7973"/>
    <w:rsid w:val="008D28BC"/>
    <w:rsid w:val="008D5BD5"/>
    <w:rsid w:val="008E0108"/>
    <w:rsid w:val="008E4E19"/>
    <w:rsid w:val="008F04EA"/>
    <w:rsid w:val="008F05A5"/>
    <w:rsid w:val="008F27A8"/>
    <w:rsid w:val="008F2B24"/>
    <w:rsid w:val="008F3F41"/>
    <w:rsid w:val="008F4732"/>
    <w:rsid w:val="009007E8"/>
    <w:rsid w:val="00901349"/>
    <w:rsid w:val="0090292D"/>
    <w:rsid w:val="00904B77"/>
    <w:rsid w:val="009065B1"/>
    <w:rsid w:val="00907649"/>
    <w:rsid w:val="0091050D"/>
    <w:rsid w:val="00910E88"/>
    <w:rsid w:val="00912856"/>
    <w:rsid w:val="009204ED"/>
    <w:rsid w:val="00920EC2"/>
    <w:rsid w:val="00920FA4"/>
    <w:rsid w:val="00921705"/>
    <w:rsid w:val="00921D9B"/>
    <w:rsid w:val="0092422C"/>
    <w:rsid w:val="00925940"/>
    <w:rsid w:val="00933EAB"/>
    <w:rsid w:val="009347F6"/>
    <w:rsid w:val="0093740E"/>
    <w:rsid w:val="00941E5F"/>
    <w:rsid w:val="009438BA"/>
    <w:rsid w:val="0094586B"/>
    <w:rsid w:val="00945E78"/>
    <w:rsid w:val="0094682A"/>
    <w:rsid w:val="00946CB1"/>
    <w:rsid w:val="00950044"/>
    <w:rsid w:val="00951A71"/>
    <w:rsid w:val="00952B63"/>
    <w:rsid w:val="00952E5E"/>
    <w:rsid w:val="00953FBD"/>
    <w:rsid w:val="009565D9"/>
    <w:rsid w:val="009569A8"/>
    <w:rsid w:val="00957784"/>
    <w:rsid w:val="00961C67"/>
    <w:rsid w:val="00961E98"/>
    <w:rsid w:val="00964493"/>
    <w:rsid w:val="0096580F"/>
    <w:rsid w:val="0097263D"/>
    <w:rsid w:val="00974939"/>
    <w:rsid w:val="00974957"/>
    <w:rsid w:val="0097644E"/>
    <w:rsid w:val="009829EA"/>
    <w:rsid w:val="0098429A"/>
    <w:rsid w:val="00986C54"/>
    <w:rsid w:val="009914F6"/>
    <w:rsid w:val="00991F4F"/>
    <w:rsid w:val="0099395D"/>
    <w:rsid w:val="0099501B"/>
    <w:rsid w:val="009A519B"/>
    <w:rsid w:val="009A52CE"/>
    <w:rsid w:val="009B066F"/>
    <w:rsid w:val="009B22F2"/>
    <w:rsid w:val="009B2FBF"/>
    <w:rsid w:val="009B4813"/>
    <w:rsid w:val="009C11D5"/>
    <w:rsid w:val="009C194A"/>
    <w:rsid w:val="009C2F6C"/>
    <w:rsid w:val="009C2FEB"/>
    <w:rsid w:val="009C664B"/>
    <w:rsid w:val="009C6CB2"/>
    <w:rsid w:val="009C7088"/>
    <w:rsid w:val="009D065E"/>
    <w:rsid w:val="009D2199"/>
    <w:rsid w:val="009D2882"/>
    <w:rsid w:val="009D3DC8"/>
    <w:rsid w:val="009D5C55"/>
    <w:rsid w:val="009D799F"/>
    <w:rsid w:val="009E0DCD"/>
    <w:rsid w:val="009E1ED0"/>
    <w:rsid w:val="009E2B5A"/>
    <w:rsid w:val="009E4B68"/>
    <w:rsid w:val="009E5786"/>
    <w:rsid w:val="009E6750"/>
    <w:rsid w:val="009F175F"/>
    <w:rsid w:val="009F4237"/>
    <w:rsid w:val="00A0366C"/>
    <w:rsid w:val="00A1253E"/>
    <w:rsid w:val="00A1461B"/>
    <w:rsid w:val="00A204FD"/>
    <w:rsid w:val="00A22858"/>
    <w:rsid w:val="00A22E43"/>
    <w:rsid w:val="00A24710"/>
    <w:rsid w:val="00A25174"/>
    <w:rsid w:val="00A26B03"/>
    <w:rsid w:val="00A30354"/>
    <w:rsid w:val="00A3192F"/>
    <w:rsid w:val="00A33F37"/>
    <w:rsid w:val="00A437C9"/>
    <w:rsid w:val="00A438B0"/>
    <w:rsid w:val="00A43C2E"/>
    <w:rsid w:val="00A46994"/>
    <w:rsid w:val="00A475FB"/>
    <w:rsid w:val="00A47946"/>
    <w:rsid w:val="00A53AC2"/>
    <w:rsid w:val="00A54E81"/>
    <w:rsid w:val="00A56251"/>
    <w:rsid w:val="00A56318"/>
    <w:rsid w:val="00A57F08"/>
    <w:rsid w:val="00A57F4F"/>
    <w:rsid w:val="00A62BBD"/>
    <w:rsid w:val="00A637D0"/>
    <w:rsid w:val="00A655AC"/>
    <w:rsid w:val="00A667DE"/>
    <w:rsid w:val="00A67A8B"/>
    <w:rsid w:val="00A67ADC"/>
    <w:rsid w:val="00A7163B"/>
    <w:rsid w:val="00A72245"/>
    <w:rsid w:val="00A81C24"/>
    <w:rsid w:val="00A82F37"/>
    <w:rsid w:val="00A84B7E"/>
    <w:rsid w:val="00A84D90"/>
    <w:rsid w:val="00A87482"/>
    <w:rsid w:val="00A9125C"/>
    <w:rsid w:val="00A92DCC"/>
    <w:rsid w:val="00AA013D"/>
    <w:rsid w:val="00AA78E1"/>
    <w:rsid w:val="00AB1791"/>
    <w:rsid w:val="00AB1DEA"/>
    <w:rsid w:val="00AB309B"/>
    <w:rsid w:val="00AB45BE"/>
    <w:rsid w:val="00AB47AA"/>
    <w:rsid w:val="00AB514B"/>
    <w:rsid w:val="00AB6511"/>
    <w:rsid w:val="00AB6E23"/>
    <w:rsid w:val="00AD0478"/>
    <w:rsid w:val="00AD1862"/>
    <w:rsid w:val="00AD33D8"/>
    <w:rsid w:val="00AD4857"/>
    <w:rsid w:val="00AD60F5"/>
    <w:rsid w:val="00AD6808"/>
    <w:rsid w:val="00AE1B78"/>
    <w:rsid w:val="00AE2A34"/>
    <w:rsid w:val="00AE4229"/>
    <w:rsid w:val="00AE4D3E"/>
    <w:rsid w:val="00AE7243"/>
    <w:rsid w:val="00AF348F"/>
    <w:rsid w:val="00AF370B"/>
    <w:rsid w:val="00AF5190"/>
    <w:rsid w:val="00AF52A6"/>
    <w:rsid w:val="00AF58E4"/>
    <w:rsid w:val="00AF6710"/>
    <w:rsid w:val="00AF79F5"/>
    <w:rsid w:val="00B019E8"/>
    <w:rsid w:val="00B0479F"/>
    <w:rsid w:val="00B05B44"/>
    <w:rsid w:val="00B114E4"/>
    <w:rsid w:val="00B114EB"/>
    <w:rsid w:val="00B142AC"/>
    <w:rsid w:val="00B162D0"/>
    <w:rsid w:val="00B171FE"/>
    <w:rsid w:val="00B1793F"/>
    <w:rsid w:val="00B17E52"/>
    <w:rsid w:val="00B25F77"/>
    <w:rsid w:val="00B267A5"/>
    <w:rsid w:val="00B27865"/>
    <w:rsid w:val="00B325BE"/>
    <w:rsid w:val="00B32C98"/>
    <w:rsid w:val="00B348E9"/>
    <w:rsid w:val="00B35CA9"/>
    <w:rsid w:val="00B3701A"/>
    <w:rsid w:val="00B44296"/>
    <w:rsid w:val="00B447AC"/>
    <w:rsid w:val="00B44B0A"/>
    <w:rsid w:val="00B46A4F"/>
    <w:rsid w:val="00B56DF6"/>
    <w:rsid w:val="00B57D0E"/>
    <w:rsid w:val="00B61A07"/>
    <w:rsid w:val="00B7310B"/>
    <w:rsid w:val="00B73B5B"/>
    <w:rsid w:val="00B744F0"/>
    <w:rsid w:val="00B776A6"/>
    <w:rsid w:val="00B84038"/>
    <w:rsid w:val="00B855EA"/>
    <w:rsid w:val="00B8790C"/>
    <w:rsid w:val="00B87B0A"/>
    <w:rsid w:val="00B90119"/>
    <w:rsid w:val="00B92843"/>
    <w:rsid w:val="00B928D7"/>
    <w:rsid w:val="00B935F7"/>
    <w:rsid w:val="00B93BD0"/>
    <w:rsid w:val="00B93D02"/>
    <w:rsid w:val="00B95CF3"/>
    <w:rsid w:val="00B96D52"/>
    <w:rsid w:val="00BA1DF6"/>
    <w:rsid w:val="00BA2659"/>
    <w:rsid w:val="00BA3EFE"/>
    <w:rsid w:val="00BA6532"/>
    <w:rsid w:val="00BA70AE"/>
    <w:rsid w:val="00BB284B"/>
    <w:rsid w:val="00BB2F0A"/>
    <w:rsid w:val="00BB3754"/>
    <w:rsid w:val="00BB51A2"/>
    <w:rsid w:val="00BB7777"/>
    <w:rsid w:val="00BC2483"/>
    <w:rsid w:val="00BC5441"/>
    <w:rsid w:val="00BD08A7"/>
    <w:rsid w:val="00BD26BF"/>
    <w:rsid w:val="00BD7D88"/>
    <w:rsid w:val="00BE006A"/>
    <w:rsid w:val="00BE0BB3"/>
    <w:rsid w:val="00BE23E6"/>
    <w:rsid w:val="00BE2A03"/>
    <w:rsid w:val="00BE4077"/>
    <w:rsid w:val="00BE55E6"/>
    <w:rsid w:val="00BE6AA2"/>
    <w:rsid w:val="00BE73FC"/>
    <w:rsid w:val="00BE76E1"/>
    <w:rsid w:val="00BF0F8E"/>
    <w:rsid w:val="00BF23D4"/>
    <w:rsid w:val="00BF34A9"/>
    <w:rsid w:val="00BF3CD9"/>
    <w:rsid w:val="00BF3F17"/>
    <w:rsid w:val="00BF40A6"/>
    <w:rsid w:val="00BF5F3B"/>
    <w:rsid w:val="00BF6688"/>
    <w:rsid w:val="00BF708B"/>
    <w:rsid w:val="00BF7B6A"/>
    <w:rsid w:val="00BF7DDD"/>
    <w:rsid w:val="00C03EF8"/>
    <w:rsid w:val="00C050E4"/>
    <w:rsid w:val="00C07799"/>
    <w:rsid w:val="00C13714"/>
    <w:rsid w:val="00C14E32"/>
    <w:rsid w:val="00C2189B"/>
    <w:rsid w:val="00C21B9F"/>
    <w:rsid w:val="00C21E2A"/>
    <w:rsid w:val="00C225EE"/>
    <w:rsid w:val="00C263A0"/>
    <w:rsid w:val="00C267DE"/>
    <w:rsid w:val="00C314B4"/>
    <w:rsid w:val="00C318C5"/>
    <w:rsid w:val="00C34272"/>
    <w:rsid w:val="00C34C6B"/>
    <w:rsid w:val="00C41AE6"/>
    <w:rsid w:val="00C4406D"/>
    <w:rsid w:val="00C5384F"/>
    <w:rsid w:val="00C545E2"/>
    <w:rsid w:val="00C5572F"/>
    <w:rsid w:val="00C55FFC"/>
    <w:rsid w:val="00C5639C"/>
    <w:rsid w:val="00C578ED"/>
    <w:rsid w:val="00C60C63"/>
    <w:rsid w:val="00C6125E"/>
    <w:rsid w:val="00C6279D"/>
    <w:rsid w:val="00C70E1C"/>
    <w:rsid w:val="00C70FE3"/>
    <w:rsid w:val="00C7546E"/>
    <w:rsid w:val="00C76780"/>
    <w:rsid w:val="00C77E1C"/>
    <w:rsid w:val="00C8045F"/>
    <w:rsid w:val="00C82712"/>
    <w:rsid w:val="00C82A1F"/>
    <w:rsid w:val="00C83A81"/>
    <w:rsid w:val="00C84250"/>
    <w:rsid w:val="00C85EFA"/>
    <w:rsid w:val="00C9526D"/>
    <w:rsid w:val="00CA153F"/>
    <w:rsid w:val="00CA1941"/>
    <w:rsid w:val="00CA4C35"/>
    <w:rsid w:val="00CA666F"/>
    <w:rsid w:val="00CA70AB"/>
    <w:rsid w:val="00CB043E"/>
    <w:rsid w:val="00CB5EA4"/>
    <w:rsid w:val="00CB7596"/>
    <w:rsid w:val="00CB7839"/>
    <w:rsid w:val="00CB7E95"/>
    <w:rsid w:val="00CC59AE"/>
    <w:rsid w:val="00CC749B"/>
    <w:rsid w:val="00CD0AE7"/>
    <w:rsid w:val="00CD0D5E"/>
    <w:rsid w:val="00CD48B6"/>
    <w:rsid w:val="00CD6159"/>
    <w:rsid w:val="00CD7ADF"/>
    <w:rsid w:val="00CE146E"/>
    <w:rsid w:val="00CE4AC6"/>
    <w:rsid w:val="00CE64FD"/>
    <w:rsid w:val="00CE7461"/>
    <w:rsid w:val="00CE7C31"/>
    <w:rsid w:val="00CE7F6A"/>
    <w:rsid w:val="00CF161D"/>
    <w:rsid w:val="00CF291F"/>
    <w:rsid w:val="00CF326A"/>
    <w:rsid w:val="00CF4909"/>
    <w:rsid w:val="00D01EC6"/>
    <w:rsid w:val="00D116D9"/>
    <w:rsid w:val="00D16367"/>
    <w:rsid w:val="00D1646C"/>
    <w:rsid w:val="00D16CA7"/>
    <w:rsid w:val="00D172C0"/>
    <w:rsid w:val="00D20266"/>
    <w:rsid w:val="00D22438"/>
    <w:rsid w:val="00D243D4"/>
    <w:rsid w:val="00D2477F"/>
    <w:rsid w:val="00D301CF"/>
    <w:rsid w:val="00D31330"/>
    <w:rsid w:val="00D32563"/>
    <w:rsid w:val="00D32A88"/>
    <w:rsid w:val="00D33BDE"/>
    <w:rsid w:val="00D341B4"/>
    <w:rsid w:val="00D3793F"/>
    <w:rsid w:val="00D405AD"/>
    <w:rsid w:val="00D527F1"/>
    <w:rsid w:val="00D52F33"/>
    <w:rsid w:val="00D53C76"/>
    <w:rsid w:val="00D564DE"/>
    <w:rsid w:val="00D577AF"/>
    <w:rsid w:val="00D61730"/>
    <w:rsid w:val="00D62BF7"/>
    <w:rsid w:val="00D63532"/>
    <w:rsid w:val="00D6355C"/>
    <w:rsid w:val="00D636DC"/>
    <w:rsid w:val="00D70D20"/>
    <w:rsid w:val="00D72661"/>
    <w:rsid w:val="00D72B2F"/>
    <w:rsid w:val="00D7419B"/>
    <w:rsid w:val="00D746F4"/>
    <w:rsid w:val="00D76153"/>
    <w:rsid w:val="00D77C35"/>
    <w:rsid w:val="00D8184B"/>
    <w:rsid w:val="00D822EA"/>
    <w:rsid w:val="00D82C56"/>
    <w:rsid w:val="00D909FD"/>
    <w:rsid w:val="00D93720"/>
    <w:rsid w:val="00DA0E2F"/>
    <w:rsid w:val="00DA0F76"/>
    <w:rsid w:val="00DA3306"/>
    <w:rsid w:val="00DA3D21"/>
    <w:rsid w:val="00DA49C0"/>
    <w:rsid w:val="00DB2C3B"/>
    <w:rsid w:val="00DB3664"/>
    <w:rsid w:val="00DB43F3"/>
    <w:rsid w:val="00DC0561"/>
    <w:rsid w:val="00DC0E67"/>
    <w:rsid w:val="00DC1E93"/>
    <w:rsid w:val="00DC1FA5"/>
    <w:rsid w:val="00DC2D0E"/>
    <w:rsid w:val="00DC2EE1"/>
    <w:rsid w:val="00DC52C9"/>
    <w:rsid w:val="00DC7008"/>
    <w:rsid w:val="00DC7D8D"/>
    <w:rsid w:val="00DD0639"/>
    <w:rsid w:val="00DD1102"/>
    <w:rsid w:val="00DD234E"/>
    <w:rsid w:val="00DD3BC7"/>
    <w:rsid w:val="00DD412C"/>
    <w:rsid w:val="00DD7161"/>
    <w:rsid w:val="00DD7784"/>
    <w:rsid w:val="00DD7B7F"/>
    <w:rsid w:val="00DE034E"/>
    <w:rsid w:val="00DE1492"/>
    <w:rsid w:val="00DE42F8"/>
    <w:rsid w:val="00DE4797"/>
    <w:rsid w:val="00DE5F49"/>
    <w:rsid w:val="00DE7DC5"/>
    <w:rsid w:val="00DF0F61"/>
    <w:rsid w:val="00DF1F60"/>
    <w:rsid w:val="00DF20C4"/>
    <w:rsid w:val="00DF4D06"/>
    <w:rsid w:val="00DF6B79"/>
    <w:rsid w:val="00E0335E"/>
    <w:rsid w:val="00E14BF8"/>
    <w:rsid w:val="00E15A9C"/>
    <w:rsid w:val="00E17B47"/>
    <w:rsid w:val="00E2022F"/>
    <w:rsid w:val="00E237CA"/>
    <w:rsid w:val="00E277AE"/>
    <w:rsid w:val="00E27CBB"/>
    <w:rsid w:val="00E30514"/>
    <w:rsid w:val="00E309B7"/>
    <w:rsid w:val="00E329E0"/>
    <w:rsid w:val="00E33305"/>
    <w:rsid w:val="00E3365D"/>
    <w:rsid w:val="00E35C24"/>
    <w:rsid w:val="00E36AD6"/>
    <w:rsid w:val="00E41D68"/>
    <w:rsid w:val="00E42549"/>
    <w:rsid w:val="00E46EA9"/>
    <w:rsid w:val="00E502F7"/>
    <w:rsid w:val="00E504E0"/>
    <w:rsid w:val="00E56501"/>
    <w:rsid w:val="00E56D78"/>
    <w:rsid w:val="00E61AB0"/>
    <w:rsid w:val="00E6582B"/>
    <w:rsid w:val="00E66501"/>
    <w:rsid w:val="00E7526F"/>
    <w:rsid w:val="00E76B2D"/>
    <w:rsid w:val="00E77B7F"/>
    <w:rsid w:val="00E801F6"/>
    <w:rsid w:val="00E80770"/>
    <w:rsid w:val="00E81B62"/>
    <w:rsid w:val="00E81E6E"/>
    <w:rsid w:val="00E82024"/>
    <w:rsid w:val="00E847C3"/>
    <w:rsid w:val="00E852B1"/>
    <w:rsid w:val="00E86083"/>
    <w:rsid w:val="00E865E6"/>
    <w:rsid w:val="00E91E8E"/>
    <w:rsid w:val="00E9258A"/>
    <w:rsid w:val="00E940C6"/>
    <w:rsid w:val="00E9609A"/>
    <w:rsid w:val="00EA3206"/>
    <w:rsid w:val="00EA38B0"/>
    <w:rsid w:val="00EA4AA6"/>
    <w:rsid w:val="00EA619E"/>
    <w:rsid w:val="00EA7809"/>
    <w:rsid w:val="00EB0BA7"/>
    <w:rsid w:val="00EB1F79"/>
    <w:rsid w:val="00EB52E4"/>
    <w:rsid w:val="00EB5D6D"/>
    <w:rsid w:val="00EB76FE"/>
    <w:rsid w:val="00EB7D37"/>
    <w:rsid w:val="00EC0305"/>
    <w:rsid w:val="00EC1802"/>
    <w:rsid w:val="00EC410C"/>
    <w:rsid w:val="00EC60F1"/>
    <w:rsid w:val="00EC6743"/>
    <w:rsid w:val="00EC686E"/>
    <w:rsid w:val="00EC795A"/>
    <w:rsid w:val="00EC7A2F"/>
    <w:rsid w:val="00ED009C"/>
    <w:rsid w:val="00ED2D81"/>
    <w:rsid w:val="00ED2FFA"/>
    <w:rsid w:val="00ED4802"/>
    <w:rsid w:val="00EE019F"/>
    <w:rsid w:val="00EE13D4"/>
    <w:rsid w:val="00EE2ECB"/>
    <w:rsid w:val="00EE3018"/>
    <w:rsid w:val="00EE3884"/>
    <w:rsid w:val="00EE4443"/>
    <w:rsid w:val="00EE4AD9"/>
    <w:rsid w:val="00EE4F46"/>
    <w:rsid w:val="00EF0B15"/>
    <w:rsid w:val="00EF2CA4"/>
    <w:rsid w:val="00EF7490"/>
    <w:rsid w:val="00EF772E"/>
    <w:rsid w:val="00F00629"/>
    <w:rsid w:val="00F078B0"/>
    <w:rsid w:val="00F1067A"/>
    <w:rsid w:val="00F10BD6"/>
    <w:rsid w:val="00F10DE2"/>
    <w:rsid w:val="00F10F13"/>
    <w:rsid w:val="00F135B7"/>
    <w:rsid w:val="00F136C3"/>
    <w:rsid w:val="00F13F5D"/>
    <w:rsid w:val="00F154D4"/>
    <w:rsid w:val="00F20E15"/>
    <w:rsid w:val="00F223B0"/>
    <w:rsid w:val="00F24CD0"/>
    <w:rsid w:val="00F25375"/>
    <w:rsid w:val="00F25B8F"/>
    <w:rsid w:val="00F26EC7"/>
    <w:rsid w:val="00F3077B"/>
    <w:rsid w:val="00F36E1E"/>
    <w:rsid w:val="00F3728F"/>
    <w:rsid w:val="00F377AF"/>
    <w:rsid w:val="00F42222"/>
    <w:rsid w:val="00F43654"/>
    <w:rsid w:val="00F451C7"/>
    <w:rsid w:val="00F45FB0"/>
    <w:rsid w:val="00F471AA"/>
    <w:rsid w:val="00F509DD"/>
    <w:rsid w:val="00F517BC"/>
    <w:rsid w:val="00F51FAB"/>
    <w:rsid w:val="00F5240B"/>
    <w:rsid w:val="00F53869"/>
    <w:rsid w:val="00F53C44"/>
    <w:rsid w:val="00F5525D"/>
    <w:rsid w:val="00F553E4"/>
    <w:rsid w:val="00F55C8E"/>
    <w:rsid w:val="00F571A8"/>
    <w:rsid w:val="00F60ACB"/>
    <w:rsid w:val="00F61CCD"/>
    <w:rsid w:val="00F636EA"/>
    <w:rsid w:val="00F657DE"/>
    <w:rsid w:val="00F71237"/>
    <w:rsid w:val="00F75F74"/>
    <w:rsid w:val="00F7687F"/>
    <w:rsid w:val="00F80915"/>
    <w:rsid w:val="00F816B3"/>
    <w:rsid w:val="00F8254A"/>
    <w:rsid w:val="00F833FB"/>
    <w:rsid w:val="00F85A4F"/>
    <w:rsid w:val="00F87F49"/>
    <w:rsid w:val="00F91025"/>
    <w:rsid w:val="00F94254"/>
    <w:rsid w:val="00F953B9"/>
    <w:rsid w:val="00F96C73"/>
    <w:rsid w:val="00FA017D"/>
    <w:rsid w:val="00FA1968"/>
    <w:rsid w:val="00FA7EC3"/>
    <w:rsid w:val="00FB3B44"/>
    <w:rsid w:val="00FB6391"/>
    <w:rsid w:val="00FC21CC"/>
    <w:rsid w:val="00FC4337"/>
    <w:rsid w:val="00FC7CBB"/>
    <w:rsid w:val="00FC7D0F"/>
    <w:rsid w:val="00FD06AF"/>
    <w:rsid w:val="00FD070C"/>
    <w:rsid w:val="00FD1D22"/>
    <w:rsid w:val="00FD3AEF"/>
    <w:rsid w:val="00FE0148"/>
    <w:rsid w:val="00FE2384"/>
    <w:rsid w:val="00FE7434"/>
    <w:rsid w:val="00FE79B2"/>
    <w:rsid w:val="00FF082A"/>
    <w:rsid w:val="00FF0F32"/>
    <w:rsid w:val="00FF3B50"/>
    <w:rsid w:val="00FF4C4D"/>
    <w:rsid w:val="00FF62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E53DF"/>
  <w15:docId w15:val="{4125C0D4-062F-43E9-9926-BB749BF2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A71"/>
    <w:pPr>
      <w:widowControl w:val="0"/>
      <w:autoSpaceDE w:val="0"/>
      <w:autoSpaceDN w:val="0"/>
      <w:adjustRightInd w:val="0"/>
      <w:jc w:val="both"/>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51A71"/>
    <w:rPr>
      <w:rFonts w:ascii="Tahoma" w:hAnsi="Tahoma" w:cs="Tahoma"/>
      <w:sz w:val="16"/>
      <w:szCs w:val="16"/>
    </w:rPr>
  </w:style>
  <w:style w:type="character" w:customStyle="1" w:styleId="TekstbaloniaChar">
    <w:name w:val="Tekst balončića Char"/>
    <w:basedOn w:val="Zadanifontodlomka"/>
    <w:link w:val="Tekstbalonia"/>
    <w:uiPriority w:val="99"/>
    <w:semiHidden/>
    <w:rsid w:val="00951A71"/>
    <w:rPr>
      <w:rFonts w:ascii="Tahoma" w:eastAsia="Times New Roman" w:hAnsi="Tahoma" w:cs="Tahoma"/>
      <w:sz w:val="16"/>
      <w:szCs w:val="16"/>
      <w:lang w:eastAsia="hr-HR"/>
    </w:rPr>
  </w:style>
  <w:style w:type="character" w:styleId="Hiperveza">
    <w:name w:val="Hyperlink"/>
    <w:basedOn w:val="Zadanifontodlomka"/>
    <w:uiPriority w:val="99"/>
    <w:unhideWhenUsed/>
    <w:rsid w:val="00536163"/>
    <w:rPr>
      <w:color w:val="0000FF" w:themeColor="hyperlink"/>
      <w:u w:val="single"/>
    </w:rPr>
  </w:style>
  <w:style w:type="paragraph" w:styleId="Odlomakpopisa">
    <w:name w:val="List Paragraph"/>
    <w:aliases w:val="Paragraph,List Paragraph Red,lp1"/>
    <w:basedOn w:val="Normal"/>
    <w:link w:val="OdlomakpopisaChar"/>
    <w:uiPriority w:val="34"/>
    <w:qFormat/>
    <w:rsid w:val="00FE0148"/>
    <w:pPr>
      <w:widowControl/>
      <w:autoSpaceDE/>
      <w:autoSpaceDN/>
      <w:adjustRightInd/>
      <w:spacing w:after="200" w:line="276" w:lineRule="auto"/>
      <w:ind w:left="720"/>
      <w:contextualSpacing/>
      <w:jc w:val="left"/>
    </w:pPr>
    <w:rPr>
      <w:rFonts w:asciiTheme="minorHAnsi" w:eastAsiaTheme="minorHAnsi" w:hAnsiTheme="minorHAnsi" w:cstheme="minorBidi"/>
      <w:sz w:val="22"/>
      <w:szCs w:val="22"/>
      <w:lang w:eastAsia="en-US"/>
    </w:rPr>
  </w:style>
  <w:style w:type="character" w:styleId="Referencakomentara">
    <w:name w:val="annotation reference"/>
    <w:basedOn w:val="Zadanifontodlomka"/>
    <w:uiPriority w:val="99"/>
    <w:semiHidden/>
    <w:unhideWhenUsed/>
    <w:rsid w:val="00C82A1F"/>
    <w:rPr>
      <w:sz w:val="16"/>
      <w:szCs w:val="16"/>
    </w:rPr>
  </w:style>
  <w:style w:type="paragraph" w:styleId="Tekstkomentara">
    <w:name w:val="annotation text"/>
    <w:aliases w:val="Char2,Comment Text Char Char Char Char Char,Comment Text Char Char Char Char,Comment Text Char Char Char,Comment Text Char Char Char1,Comment Text Char Char Char Char Char Ch, Char2"/>
    <w:basedOn w:val="Normal"/>
    <w:link w:val="TekstkomentaraChar"/>
    <w:uiPriority w:val="99"/>
    <w:unhideWhenUsed/>
    <w:rsid w:val="00C82A1F"/>
    <w:rPr>
      <w:sz w:val="20"/>
      <w:szCs w:val="20"/>
    </w:rPr>
  </w:style>
  <w:style w:type="character" w:customStyle="1" w:styleId="TekstkomentaraChar">
    <w:name w:val="Tekst komentara Char"/>
    <w:aliases w:val="Char2 Char,Comment Text Char Char Char Char Char Char,Comment Text Char Char Char Char Char1,Comment Text Char Char Char Char1,Comment Text Char Char Char1 Char,Comment Text Char Char Char Char Char Ch Char, Char2 Char"/>
    <w:basedOn w:val="Zadanifontodlomka"/>
    <w:link w:val="Tekstkomentara"/>
    <w:uiPriority w:val="99"/>
    <w:rsid w:val="00C82A1F"/>
    <w:rPr>
      <w:rFonts w:eastAsia="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C82A1F"/>
    <w:rPr>
      <w:b/>
      <w:bCs/>
    </w:rPr>
  </w:style>
  <w:style w:type="character" w:customStyle="1" w:styleId="PredmetkomentaraChar">
    <w:name w:val="Predmet komentara Char"/>
    <w:basedOn w:val="TekstkomentaraChar"/>
    <w:link w:val="Predmetkomentara"/>
    <w:uiPriority w:val="99"/>
    <w:semiHidden/>
    <w:rsid w:val="00C82A1F"/>
    <w:rPr>
      <w:rFonts w:eastAsia="Times New Roman" w:cs="Times New Roman"/>
      <w:b/>
      <w:bCs/>
      <w:sz w:val="20"/>
      <w:szCs w:val="20"/>
      <w:lang w:eastAsia="hr-HR"/>
    </w:rPr>
  </w:style>
  <w:style w:type="paragraph" w:customStyle="1" w:styleId="Default">
    <w:name w:val="Default"/>
    <w:rsid w:val="001B46C7"/>
    <w:pPr>
      <w:autoSpaceDE w:val="0"/>
      <w:autoSpaceDN w:val="0"/>
      <w:adjustRightInd w:val="0"/>
    </w:pPr>
    <w:rPr>
      <w:rFonts w:ascii="Times New Roman" w:hAnsi="Times New Roman" w:cs="Times New Roman"/>
      <w:color w:val="000000"/>
      <w:szCs w:val="24"/>
    </w:rPr>
  </w:style>
  <w:style w:type="paragraph" w:styleId="StandardWeb">
    <w:name w:val="Normal (Web)"/>
    <w:basedOn w:val="Normal"/>
    <w:link w:val="StandardWebChar"/>
    <w:uiPriority w:val="99"/>
    <w:unhideWhenUsed/>
    <w:rsid w:val="00094103"/>
    <w:pPr>
      <w:widowControl/>
      <w:autoSpaceDE/>
      <w:autoSpaceDN/>
      <w:adjustRightInd/>
      <w:spacing w:after="150"/>
      <w:jc w:val="left"/>
    </w:pPr>
    <w:rPr>
      <w:rFonts w:ascii="Times New Roman" w:hAnsi="Times New Roman"/>
      <w:lang w:val="en-US" w:eastAsia="en-US"/>
    </w:rPr>
  </w:style>
  <w:style w:type="character" w:customStyle="1" w:styleId="StandardWebChar">
    <w:name w:val="Standard (Web) Char"/>
    <w:basedOn w:val="Zadanifontodlomka"/>
    <w:link w:val="StandardWeb"/>
    <w:uiPriority w:val="99"/>
    <w:rsid w:val="00094103"/>
    <w:rPr>
      <w:rFonts w:ascii="Times New Roman" w:eastAsia="Times New Roman" w:hAnsi="Times New Roman" w:cs="Times New Roman"/>
      <w:szCs w:val="24"/>
      <w:lang w:val="en-US"/>
    </w:rPr>
  </w:style>
  <w:style w:type="paragraph" w:styleId="Zaglavlje">
    <w:name w:val="header"/>
    <w:basedOn w:val="Normal"/>
    <w:link w:val="ZaglavljeChar"/>
    <w:uiPriority w:val="99"/>
    <w:unhideWhenUsed/>
    <w:rsid w:val="00952B63"/>
    <w:pPr>
      <w:tabs>
        <w:tab w:val="center" w:pos="4536"/>
        <w:tab w:val="right" w:pos="9072"/>
      </w:tabs>
    </w:pPr>
  </w:style>
  <w:style w:type="character" w:customStyle="1" w:styleId="ZaglavljeChar">
    <w:name w:val="Zaglavlje Char"/>
    <w:basedOn w:val="Zadanifontodlomka"/>
    <w:link w:val="Zaglavlje"/>
    <w:uiPriority w:val="99"/>
    <w:rsid w:val="00952B63"/>
    <w:rPr>
      <w:rFonts w:eastAsia="Times New Roman" w:cs="Times New Roman"/>
      <w:szCs w:val="24"/>
      <w:lang w:eastAsia="hr-HR"/>
    </w:rPr>
  </w:style>
  <w:style w:type="paragraph" w:styleId="Podnoje">
    <w:name w:val="footer"/>
    <w:basedOn w:val="Normal"/>
    <w:link w:val="PodnojeChar"/>
    <w:uiPriority w:val="99"/>
    <w:unhideWhenUsed/>
    <w:rsid w:val="00952B63"/>
    <w:pPr>
      <w:tabs>
        <w:tab w:val="center" w:pos="4536"/>
        <w:tab w:val="right" w:pos="9072"/>
      </w:tabs>
    </w:pPr>
  </w:style>
  <w:style w:type="character" w:customStyle="1" w:styleId="PodnojeChar">
    <w:name w:val="Podnožje Char"/>
    <w:basedOn w:val="Zadanifontodlomka"/>
    <w:link w:val="Podnoje"/>
    <w:uiPriority w:val="99"/>
    <w:rsid w:val="00952B63"/>
    <w:rPr>
      <w:rFonts w:eastAsia="Times New Roman" w:cs="Times New Roman"/>
      <w:szCs w:val="24"/>
      <w:lang w:eastAsia="hr-HR"/>
    </w:rPr>
  </w:style>
  <w:style w:type="paragraph" w:styleId="Naslov">
    <w:name w:val="Title"/>
    <w:basedOn w:val="Normal"/>
    <w:next w:val="Normal"/>
    <w:link w:val="NaslovChar"/>
    <w:qFormat/>
    <w:rsid w:val="001C2CDA"/>
    <w:pPr>
      <w:jc w:val="left"/>
      <w:outlineLvl w:val="0"/>
    </w:pPr>
    <w:rPr>
      <w:bCs/>
      <w:noProof/>
      <w:kern w:val="28"/>
    </w:rPr>
  </w:style>
  <w:style w:type="character" w:customStyle="1" w:styleId="NaslovChar">
    <w:name w:val="Naslov Char"/>
    <w:basedOn w:val="Zadanifontodlomka"/>
    <w:link w:val="Naslov"/>
    <w:rsid w:val="001C2CDA"/>
    <w:rPr>
      <w:rFonts w:eastAsia="Times New Roman" w:cs="Times New Roman"/>
      <w:bCs/>
      <w:noProof/>
      <w:kern w:val="28"/>
      <w:szCs w:val="24"/>
      <w:lang w:eastAsia="hr-HR"/>
    </w:rPr>
  </w:style>
  <w:style w:type="character" w:customStyle="1" w:styleId="OdlomakpopisaChar">
    <w:name w:val="Odlomak popisa Char"/>
    <w:aliases w:val="Paragraph Char,List Paragraph Red Char,lp1 Char"/>
    <w:link w:val="Odlomakpopisa"/>
    <w:uiPriority w:val="34"/>
    <w:locked/>
    <w:rsid w:val="00B25F77"/>
    <w:rPr>
      <w:rFonts w:asciiTheme="minorHAnsi" w:hAnsiTheme="minorHAnsi"/>
      <w:sz w:val="22"/>
    </w:rPr>
  </w:style>
  <w:style w:type="paragraph" w:styleId="Obinitekst">
    <w:name w:val="Plain Text"/>
    <w:basedOn w:val="Normal"/>
    <w:link w:val="ObinitekstChar"/>
    <w:uiPriority w:val="99"/>
    <w:semiHidden/>
    <w:unhideWhenUsed/>
    <w:rsid w:val="00C5572F"/>
    <w:pPr>
      <w:widowControl/>
      <w:autoSpaceDE/>
      <w:autoSpaceDN/>
      <w:adjustRightInd/>
      <w:jc w:val="left"/>
    </w:pPr>
    <w:rPr>
      <w:rFonts w:ascii="Calibri" w:eastAsiaTheme="minorHAnsi" w:hAnsi="Calibri" w:cstheme="minorBidi"/>
      <w:sz w:val="22"/>
      <w:szCs w:val="21"/>
      <w:lang w:eastAsia="en-US"/>
    </w:rPr>
  </w:style>
  <w:style w:type="character" w:customStyle="1" w:styleId="ObinitekstChar">
    <w:name w:val="Obični tekst Char"/>
    <w:basedOn w:val="Zadanifontodlomka"/>
    <w:link w:val="Obinitekst"/>
    <w:uiPriority w:val="99"/>
    <w:semiHidden/>
    <w:rsid w:val="00C5572F"/>
    <w:rPr>
      <w:rFonts w:ascii="Calibri" w:hAnsi="Calibri"/>
      <w:sz w:val="22"/>
      <w:szCs w:val="21"/>
    </w:rPr>
  </w:style>
  <w:style w:type="paragraph" w:styleId="Tijeloteksta">
    <w:name w:val="Body Text"/>
    <w:basedOn w:val="Normal"/>
    <w:link w:val="TijelotekstaChar"/>
    <w:uiPriority w:val="1"/>
    <w:qFormat/>
    <w:rsid w:val="00F61CCD"/>
    <w:pPr>
      <w:jc w:val="left"/>
    </w:pPr>
    <w:rPr>
      <w:rFonts w:ascii="Bookman Old Style" w:eastAsiaTheme="minorEastAsia" w:hAnsi="Bookman Old Style" w:cs="Bookman Old Style"/>
    </w:rPr>
  </w:style>
  <w:style w:type="character" w:customStyle="1" w:styleId="TijelotekstaChar">
    <w:name w:val="Tijelo teksta Char"/>
    <w:basedOn w:val="Zadanifontodlomka"/>
    <w:link w:val="Tijeloteksta"/>
    <w:uiPriority w:val="1"/>
    <w:rsid w:val="00F61CCD"/>
    <w:rPr>
      <w:rFonts w:ascii="Bookman Old Style" w:eastAsiaTheme="minorEastAsia" w:hAnsi="Bookman Old Style" w:cs="Bookman Old Style"/>
      <w:szCs w:val="24"/>
      <w:lang w:eastAsia="hr-HR"/>
    </w:rPr>
  </w:style>
  <w:style w:type="paragraph" w:customStyle="1" w:styleId="StilBulletCrtica">
    <w:name w:val="StilBulletCrtica"/>
    <w:basedOn w:val="Odlomakpopisa"/>
    <w:next w:val="Normal"/>
    <w:link w:val="StilBulletCrticaChar"/>
    <w:qFormat/>
    <w:rsid w:val="00F61CCD"/>
    <w:pPr>
      <w:numPr>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autoSpaceDE w:val="0"/>
      <w:autoSpaceDN w:val="0"/>
      <w:adjustRightInd w:val="0"/>
      <w:spacing w:after="0" w:line="240" w:lineRule="auto"/>
      <w:ind w:left="1134" w:hanging="567"/>
      <w:jc w:val="both"/>
      <w:textAlignment w:val="baseline"/>
    </w:pPr>
    <w:rPr>
      <w:rFonts w:ascii="Arial" w:eastAsia="Times New Roman" w:hAnsi="Arial" w:cs="Times New Roman"/>
      <w:sz w:val="24"/>
      <w:szCs w:val="20"/>
      <w:lang w:eastAsia="hr-HR"/>
    </w:rPr>
  </w:style>
  <w:style w:type="character" w:customStyle="1" w:styleId="StilBulletCrticaChar">
    <w:name w:val="StilBulletCrtica Char"/>
    <w:link w:val="StilBulletCrtica"/>
    <w:rsid w:val="00F61CCD"/>
    <w:rPr>
      <w:rFonts w:eastAsia="Times New Roman" w:cs="Times New Roman"/>
      <w:szCs w:val="20"/>
      <w:lang w:eastAsia="hr-HR"/>
    </w:rPr>
  </w:style>
  <w:style w:type="table" w:styleId="Reetkatablice">
    <w:name w:val="Table Grid"/>
    <w:basedOn w:val="Obinatablica"/>
    <w:rsid w:val="00A437C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AE7243"/>
    <w:rPr>
      <w:rFonts w:eastAsia="Times New Roman" w:cs="Times New Roman"/>
      <w:szCs w:val="24"/>
      <w:lang w:eastAsia="hr-HR"/>
    </w:rPr>
  </w:style>
  <w:style w:type="paragraph" w:styleId="Tekstfusnote">
    <w:name w:val="footnote text"/>
    <w:basedOn w:val="Normal"/>
    <w:link w:val="TekstfusnoteChar"/>
    <w:uiPriority w:val="99"/>
    <w:semiHidden/>
    <w:unhideWhenUsed/>
    <w:rsid w:val="00DF6B79"/>
    <w:rPr>
      <w:sz w:val="20"/>
      <w:szCs w:val="20"/>
    </w:rPr>
  </w:style>
  <w:style w:type="character" w:customStyle="1" w:styleId="TekstfusnoteChar">
    <w:name w:val="Tekst fusnote Char"/>
    <w:basedOn w:val="Zadanifontodlomka"/>
    <w:link w:val="Tekstfusnote"/>
    <w:uiPriority w:val="99"/>
    <w:semiHidden/>
    <w:rsid w:val="00DF6B79"/>
    <w:rPr>
      <w:rFonts w:eastAsia="Times New Roman" w:cs="Times New Roman"/>
      <w:sz w:val="20"/>
      <w:szCs w:val="20"/>
      <w:lang w:eastAsia="hr-HR"/>
    </w:rPr>
  </w:style>
  <w:style w:type="character" w:styleId="Referencafusnote">
    <w:name w:val="footnote reference"/>
    <w:rsid w:val="00DF6B79"/>
    <w:rPr>
      <w:vertAlign w:val="superscript"/>
    </w:rPr>
  </w:style>
  <w:style w:type="table" w:customStyle="1" w:styleId="Reetkatablice1">
    <w:name w:val="Rešetka tablice1"/>
    <w:basedOn w:val="Obinatablica"/>
    <w:next w:val="Reetkatablice"/>
    <w:uiPriority w:val="39"/>
    <w:rsid w:val="000567E0"/>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EC7A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7380">
      <w:bodyDiv w:val="1"/>
      <w:marLeft w:val="0"/>
      <w:marRight w:val="0"/>
      <w:marTop w:val="0"/>
      <w:marBottom w:val="0"/>
      <w:divBdr>
        <w:top w:val="none" w:sz="0" w:space="0" w:color="auto"/>
        <w:left w:val="none" w:sz="0" w:space="0" w:color="auto"/>
        <w:bottom w:val="none" w:sz="0" w:space="0" w:color="auto"/>
        <w:right w:val="none" w:sz="0" w:space="0" w:color="auto"/>
      </w:divBdr>
    </w:div>
    <w:div w:id="99885707">
      <w:bodyDiv w:val="1"/>
      <w:marLeft w:val="0"/>
      <w:marRight w:val="0"/>
      <w:marTop w:val="0"/>
      <w:marBottom w:val="0"/>
      <w:divBdr>
        <w:top w:val="none" w:sz="0" w:space="0" w:color="auto"/>
        <w:left w:val="none" w:sz="0" w:space="0" w:color="auto"/>
        <w:bottom w:val="none" w:sz="0" w:space="0" w:color="auto"/>
        <w:right w:val="none" w:sz="0" w:space="0" w:color="auto"/>
      </w:divBdr>
    </w:div>
    <w:div w:id="410005828">
      <w:bodyDiv w:val="1"/>
      <w:marLeft w:val="0"/>
      <w:marRight w:val="0"/>
      <w:marTop w:val="0"/>
      <w:marBottom w:val="0"/>
      <w:divBdr>
        <w:top w:val="none" w:sz="0" w:space="0" w:color="auto"/>
        <w:left w:val="none" w:sz="0" w:space="0" w:color="auto"/>
        <w:bottom w:val="none" w:sz="0" w:space="0" w:color="auto"/>
        <w:right w:val="none" w:sz="0" w:space="0" w:color="auto"/>
      </w:divBdr>
    </w:div>
    <w:div w:id="918439171">
      <w:bodyDiv w:val="1"/>
      <w:marLeft w:val="0"/>
      <w:marRight w:val="0"/>
      <w:marTop w:val="0"/>
      <w:marBottom w:val="0"/>
      <w:divBdr>
        <w:top w:val="none" w:sz="0" w:space="0" w:color="auto"/>
        <w:left w:val="none" w:sz="0" w:space="0" w:color="auto"/>
        <w:bottom w:val="none" w:sz="0" w:space="0" w:color="auto"/>
        <w:right w:val="none" w:sz="0" w:space="0" w:color="auto"/>
      </w:divBdr>
    </w:div>
    <w:div w:id="1277443295">
      <w:bodyDiv w:val="1"/>
      <w:marLeft w:val="0"/>
      <w:marRight w:val="0"/>
      <w:marTop w:val="0"/>
      <w:marBottom w:val="0"/>
      <w:divBdr>
        <w:top w:val="none" w:sz="0" w:space="0" w:color="auto"/>
        <w:left w:val="none" w:sz="0" w:space="0" w:color="auto"/>
        <w:bottom w:val="none" w:sz="0" w:space="0" w:color="auto"/>
        <w:right w:val="none" w:sz="0" w:space="0" w:color="auto"/>
      </w:divBdr>
    </w:div>
    <w:div w:id="1649356127">
      <w:bodyDiv w:val="1"/>
      <w:marLeft w:val="0"/>
      <w:marRight w:val="0"/>
      <w:marTop w:val="0"/>
      <w:marBottom w:val="0"/>
      <w:divBdr>
        <w:top w:val="none" w:sz="0" w:space="0" w:color="auto"/>
        <w:left w:val="none" w:sz="0" w:space="0" w:color="auto"/>
        <w:bottom w:val="none" w:sz="0" w:space="0" w:color="auto"/>
        <w:right w:val="none" w:sz="0" w:space="0" w:color="auto"/>
      </w:divBdr>
    </w:div>
    <w:div w:id="212469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osipa.marakovic@revizija.hr" TargetMode="External"/><Relationship Id="rId4" Type="http://schemas.openxmlformats.org/officeDocument/2006/relationships/settings" Target="settings.xml"/><Relationship Id="rId9" Type="http://schemas.openxmlformats.org/officeDocument/2006/relationships/hyperlink" Target="http://www.revizij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E63A7-05D1-4178-918D-F204CF24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1415</Words>
  <Characters>8071</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biserka coh mikulec</dc:creator>
  <cp:lastModifiedBy>Josipa Maraković</cp:lastModifiedBy>
  <cp:revision>3</cp:revision>
  <cp:lastPrinted>2023-06-14T08:27:00Z</cp:lastPrinted>
  <dcterms:created xsi:type="dcterms:W3CDTF">2026-06-12T07:37:00Z</dcterms:created>
  <dcterms:modified xsi:type="dcterms:W3CDTF">2026-06-12T10:59:00Z</dcterms:modified>
</cp:coreProperties>
</file>